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F42" w:rsidRPr="004B4A0F" w:rsidRDefault="00481B28" w:rsidP="0065169A">
      <w:pPr>
        <w:spacing w:after="0" w:line="240" w:lineRule="auto"/>
        <w:jc w:val="center"/>
        <w:rPr>
          <w:rFonts w:ascii="Times New Roman" w:hAnsi="Times New Roman" w:cs="Times New Roman"/>
          <w:b/>
          <w:bCs/>
          <w:sz w:val="28"/>
          <w:szCs w:val="28"/>
        </w:rPr>
      </w:pPr>
      <w:r w:rsidRPr="004B4A0F">
        <w:rPr>
          <w:rFonts w:ascii="Times New Roman" w:hAnsi="Times New Roman" w:cs="Times New Roman"/>
          <w:b/>
          <w:bCs/>
          <w:sz w:val="28"/>
          <w:szCs w:val="28"/>
        </w:rPr>
        <w:t>Sodium Percent</w:t>
      </w:r>
      <w:r w:rsidR="000D2ACF" w:rsidRPr="004B4A0F">
        <w:rPr>
          <w:rFonts w:ascii="Times New Roman" w:hAnsi="Times New Roman" w:cs="Times New Roman"/>
          <w:b/>
          <w:bCs/>
          <w:sz w:val="28"/>
          <w:szCs w:val="28"/>
        </w:rPr>
        <w:t xml:space="preserve"> of Groundwater Suitability for Irrigation in </w:t>
      </w:r>
      <w:proofErr w:type="spellStart"/>
      <w:r w:rsidR="000D2ACF" w:rsidRPr="004B4A0F">
        <w:rPr>
          <w:rFonts w:ascii="Times New Roman" w:hAnsi="Times New Roman" w:cs="Times New Roman"/>
          <w:b/>
          <w:bCs/>
          <w:sz w:val="28"/>
          <w:szCs w:val="28"/>
        </w:rPr>
        <w:t>Purna</w:t>
      </w:r>
      <w:proofErr w:type="spellEnd"/>
      <w:r w:rsidR="000D2ACF" w:rsidRPr="004B4A0F">
        <w:rPr>
          <w:rFonts w:ascii="Times New Roman" w:hAnsi="Times New Roman" w:cs="Times New Roman"/>
          <w:b/>
          <w:bCs/>
          <w:sz w:val="28"/>
          <w:szCs w:val="28"/>
        </w:rPr>
        <w:t xml:space="preserve"> Alluvial Basin, Maharashtra</w:t>
      </w:r>
    </w:p>
    <w:p w:rsidR="00B71ABE" w:rsidRPr="004B4A0F" w:rsidRDefault="00B71ABE" w:rsidP="0065169A">
      <w:pPr>
        <w:spacing w:after="0" w:line="240" w:lineRule="auto"/>
        <w:jc w:val="both"/>
        <w:rPr>
          <w:rFonts w:ascii="Times New Roman" w:hAnsi="Times New Roman" w:cs="Times New Roman"/>
          <w:b/>
          <w:bCs/>
          <w:sz w:val="24"/>
          <w:szCs w:val="24"/>
        </w:rPr>
      </w:pPr>
    </w:p>
    <w:p w:rsidR="00B71ABE" w:rsidRPr="0065169A" w:rsidRDefault="0065169A" w:rsidP="0065169A">
      <w:pPr>
        <w:spacing w:after="0" w:line="240" w:lineRule="auto"/>
        <w:jc w:val="center"/>
        <w:rPr>
          <w:rFonts w:ascii="Times New Roman" w:hAnsi="Times New Roman" w:cs="Times New Roman"/>
          <w:b/>
          <w:bCs/>
          <w:sz w:val="24"/>
          <w:szCs w:val="24"/>
        </w:rPr>
      </w:pPr>
      <w:r>
        <w:rPr>
          <w:rFonts w:ascii="Times New Roman" w:hAnsi="Times New Roman" w:cs="Times New Roman"/>
          <w:b/>
          <w:bCs/>
          <w:caps/>
          <w:sz w:val="24"/>
          <w:szCs w:val="24"/>
        </w:rPr>
        <w:t xml:space="preserve">P. S. </w:t>
      </w:r>
      <w:r>
        <w:rPr>
          <w:rFonts w:ascii="Times New Roman" w:hAnsi="Times New Roman" w:cs="Times New Roman"/>
          <w:b/>
          <w:bCs/>
          <w:sz w:val="24"/>
          <w:szCs w:val="24"/>
        </w:rPr>
        <w:t>Parimal</w:t>
      </w:r>
    </w:p>
    <w:p w:rsidR="00B71ABE" w:rsidRPr="004B4A0F" w:rsidRDefault="000D2ACF" w:rsidP="0065169A">
      <w:pPr>
        <w:spacing w:after="0" w:line="240" w:lineRule="auto"/>
        <w:jc w:val="center"/>
        <w:rPr>
          <w:rFonts w:ascii="Times New Roman" w:hAnsi="Times New Roman" w:cs="Times New Roman"/>
          <w:szCs w:val="22"/>
        </w:rPr>
      </w:pPr>
      <w:r w:rsidRPr="004B4A0F">
        <w:rPr>
          <w:rFonts w:ascii="Times New Roman" w:hAnsi="Times New Roman" w:cs="Times New Roman"/>
          <w:szCs w:val="22"/>
        </w:rPr>
        <w:t xml:space="preserve">Department of Geology, G. S. Tompe Arts, Commerce &amp; Science College, </w:t>
      </w:r>
    </w:p>
    <w:p w:rsidR="00B71ABE" w:rsidRPr="004B4A0F" w:rsidRDefault="000D2ACF" w:rsidP="0065169A">
      <w:pPr>
        <w:spacing w:after="0" w:line="240" w:lineRule="auto"/>
        <w:jc w:val="center"/>
        <w:rPr>
          <w:rFonts w:ascii="Times New Roman" w:hAnsi="Times New Roman" w:cs="Times New Roman"/>
          <w:szCs w:val="22"/>
        </w:rPr>
      </w:pPr>
      <w:r w:rsidRPr="004B4A0F">
        <w:rPr>
          <w:rFonts w:ascii="Times New Roman" w:hAnsi="Times New Roman" w:cs="Times New Roman"/>
          <w:szCs w:val="22"/>
        </w:rPr>
        <w:t>Chandur Bazar, District Amravati - 444702</w:t>
      </w:r>
    </w:p>
    <w:p w:rsidR="000D2ACF" w:rsidRPr="004B4A0F" w:rsidRDefault="000D2ACF" w:rsidP="0065169A">
      <w:pPr>
        <w:spacing w:after="0" w:line="240" w:lineRule="auto"/>
        <w:jc w:val="center"/>
        <w:rPr>
          <w:rFonts w:ascii="Times New Roman" w:hAnsi="Times New Roman" w:cs="Times New Roman"/>
          <w:szCs w:val="22"/>
        </w:rPr>
      </w:pPr>
      <w:r w:rsidRPr="004B4A0F">
        <w:rPr>
          <w:rFonts w:ascii="Times New Roman" w:hAnsi="Times New Roman" w:cs="Times New Roman"/>
          <w:szCs w:val="22"/>
        </w:rPr>
        <w:t xml:space="preserve">E-mail: </w:t>
      </w:r>
      <w:hyperlink r:id="rId5" w:history="1">
        <w:r w:rsidRPr="004B4A0F">
          <w:rPr>
            <w:rStyle w:val="Hyperlink"/>
            <w:rFonts w:ascii="Times New Roman" w:hAnsi="Times New Roman" w:cs="Times New Roman"/>
            <w:color w:val="auto"/>
            <w:szCs w:val="22"/>
          </w:rPr>
          <w:t>pravinparimal@rediffmail.com</w:t>
        </w:r>
      </w:hyperlink>
    </w:p>
    <w:p w:rsidR="000D2ACF" w:rsidRPr="004B4A0F" w:rsidRDefault="000D2ACF" w:rsidP="0065169A">
      <w:pPr>
        <w:spacing w:after="0" w:line="240" w:lineRule="auto"/>
        <w:jc w:val="center"/>
        <w:rPr>
          <w:rFonts w:ascii="Times New Roman" w:hAnsi="Times New Roman" w:cs="Arial Unicode MS"/>
          <w:sz w:val="24"/>
          <w:szCs w:val="24"/>
        </w:rPr>
      </w:pPr>
    </w:p>
    <w:p w:rsidR="000D2ACF" w:rsidRPr="004B4A0F" w:rsidRDefault="000D2ACF" w:rsidP="0065169A">
      <w:pPr>
        <w:spacing w:after="0" w:line="240" w:lineRule="auto"/>
        <w:jc w:val="center"/>
        <w:rPr>
          <w:rFonts w:ascii="Times New Roman" w:hAnsi="Times New Roman" w:cs="Times New Roman"/>
          <w:b/>
          <w:bCs/>
          <w:sz w:val="24"/>
          <w:szCs w:val="24"/>
        </w:rPr>
      </w:pPr>
      <w:r w:rsidRPr="004B4A0F">
        <w:rPr>
          <w:rFonts w:ascii="Times New Roman" w:hAnsi="Times New Roman" w:cs="Times New Roman"/>
          <w:b/>
          <w:bCs/>
          <w:sz w:val="24"/>
          <w:szCs w:val="24"/>
        </w:rPr>
        <w:t>Abstract</w:t>
      </w:r>
    </w:p>
    <w:p w:rsidR="00481B28" w:rsidRPr="004B4A0F" w:rsidRDefault="003610D2" w:rsidP="006516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30" w:right="720"/>
        <w:jc w:val="both"/>
        <w:rPr>
          <w:rFonts w:ascii="Times New Roman" w:hAnsi="Times New Roman" w:cs="Times New Roman"/>
          <w:i/>
          <w:iCs/>
          <w:szCs w:val="22"/>
        </w:rPr>
      </w:pPr>
      <w:r w:rsidRPr="004B4A0F">
        <w:rPr>
          <w:rFonts w:ascii="Times New Roman" w:eastAsia="Times New Roman" w:hAnsi="Times New Roman" w:cs="Times New Roman"/>
          <w:i/>
          <w:iCs/>
          <w:szCs w:val="22"/>
        </w:rPr>
        <w:t>G</w:t>
      </w:r>
      <w:r w:rsidR="00FE1F17" w:rsidRPr="004B4A0F">
        <w:rPr>
          <w:rFonts w:ascii="Times New Roman" w:eastAsia="Times New Roman" w:hAnsi="Times New Roman" w:cs="Times New Roman"/>
          <w:i/>
          <w:iCs/>
          <w:szCs w:val="22"/>
        </w:rPr>
        <w:t xml:space="preserve">roundwater is the most important factor for agriculture. </w:t>
      </w:r>
      <w:r w:rsidRPr="004B4A0F">
        <w:rPr>
          <w:rFonts w:ascii="Times New Roman" w:hAnsi="Times New Roman" w:cs="Times New Roman"/>
          <w:i/>
          <w:iCs/>
          <w:szCs w:val="22"/>
        </w:rPr>
        <w:t xml:space="preserve">The main focus of this study is to assess the suitability of groundwater quality for irrigation purposes from </w:t>
      </w:r>
      <w:proofErr w:type="spellStart"/>
      <w:r w:rsidRPr="004B4A0F">
        <w:rPr>
          <w:rFonts w:ascii="Times New Roman" w:hAnsi="Times New Roman" w:cs="Times New Roman"/>
          <w:i/>
          <w:iCs/>
          <w:szCs w:val="22"/>
        </w:rPr>
        <w:t>Purna</w:t>
      </w:r>
      <w:proofErr w:type="spellEnd"/>
      <w:r w:rsidRPr="004B4A0F">
        <w:rPr>
          <w:rFonts w:ascii="Times New Roman" w:hAnsi="Times New Roman" w:cs="Times New Roman"/>
          <w:i/>
          <w:iCs/>
          <w:szCs w:val="22"/>
        </w:rPr>
        <w:t xml:space="preserve"> basin. The interpretations are based on a total of 94 samples each were collected in pre- and post-monsoon periods of the years 2006, out of which, 24 belongs to dug wells and rest 70 to bore wells. </w:t>
      </w:r>
      <w:r w:rsidR="00481B28" w:rsidRPr="004B4A0F">
        <w:rPr>
          <w:rFonts w:ascii="Times New Roman" w:hAnsi="Times New Roman" w:cs="Times New Roman"/>
          <w:i/>
          <w:iCs/>
          <w:szCs w:val="22"/>
        </w:rPr>
        <w:t>the water of good to permissible categories in the range of 20 to 60 exist at 55 locations during each pre- and post-</w:t>
      </w:r>
      <w:r w:rsidR="0091286E" w:rsidRPr="004B4A0F">
        <w:rPr>
          <w:rFonts w:ascii="Times New Roman" w:hAnsi="Times New Roman" w:cs="Times New Roman"/>
          <w:i/>
          <w:iCs/>
          <w:szCs w:val="22"/>
        </w:rPr>
        <w:t xml:space="preserve">monsoon periods, Similarly, out of 55 samples 27 in pre-monsoon and 18 in post-monsoon periods, fall under doubtful category in the range 60 to 80 and are not suitable for irrigation. However, 3 and 5 samples during pre- and post-monsoon periods </w:t>
      </w:r>
      <w:r w:rsidR="00481B28" w:rsidRPr="004B4A0F">
        <w:rPr>
          <w:rFonts w:ascii="Times New Roman" w:hAnsi="Times New Roman" w:cs="Times New Roman"/>
          <w:i/>
          <w:iCs/>
          <w:szCs w:val="22"/>
        </w:rPr>
        <w:t>are unsuitable</w:t>
      </w:r>
      <w:r w:rsidR="0091286E" w:rsidRPr="004B4A0F">
        <w:rPr>
          <w:rFonts w:ascii="Times New Roman" w:hAnsi="Times New Roman" w:cs="Times New Roman"/>
          <w:i/>
          <w:iCs/>
          <w:szCs w:val="22"/>
        </w:rPr>
        <w:t xml:space="preserve"> category </w:t>
      </w:r>
      <w:r w:rsidR="00481B28" w:rsidRPr="004B4A0F">
        <w:rPr>
          <w:rFonts w:ascii="Times New Roman" w:hAnsi="Times New Roman" w:cs="Times New Roman"/>
          <w:i/>
          <w:iCs/>
          <w:szCs w:val="22"/>
        </w:rPr>
        <w:t xml:space="preserve">having Na% more than 80.  </w:t>
      </w:r>
    </w:p>
    <w:p w:rsidR="00B71ABE" w:rsidRPr="004B4A0F" w:rsidRDefault="00B71ABE" w:rsidP="0065169A">
      <w:pPr>
        <w:spacing w:after="0" w:line="240" w:lineRule="auto"/>
        <w:jc w:val="both"/>
        <w:rPr>
          <w:rFonts w:ascii="Times New Roman" w:hAnsi="Times New Roman" w:cs="Times New Roman"/>
          <w:b/>
          <w:bCs/>
          <w:sz w:val="24"/>
          <w:szCs w:val="24"/>
        </w:rPr>
      </w:pPr>
    </w:p>
    <w:p w:rsidR="00FE1F17" w:rsidRPr="004B4A0F" w:rsidRDefault="00FE1F17" w:rsidP="0065169A">
      <w:pPr>
        <w:spacing w:after="0" w:line="240" w:lineRule="auto"/>
        <w:ind w:left="630" w:right="630"/>
        <w:jc w:val="both"/>
        <w:rPr>
          <w:rFonts w:ascii="Times New Roman" w:hAnsi="Times New Roman" w:cs="Times New Roman"/>
          <w:szCs w:val="22"/>
        </w:rPr>
      </w:pPr>
      <w:r w:rsidRPr="004B4A0F">
        <w:rPr>
          <w:rFonts w:ascii="Times New Roman" w:hAnsi="Times New Roman" w:cs="Times New Roman"/>
          <w:b/>
          <w:bCs/>
          <w:sz w:val="24"/>
          <w:szCs w:val="24"/>
        </w:rPr>
        <w:t>Keyword:</w:t>
      </w:r>
      <w:r w:rsidR="00734EF9">
        <w:rPr>
          <w:rFonts w:ascii="Times New Roman" w:hAnsi="Times New Roman" w:cs="Times New Roman"/>
          <w:sz w:val="24"/>
          <w:szCs w:val="24"/>
        </w:rPr>
        <w:t xml:space="preserve"> </w:t>
      </w:r>
      <w:r w:rsidR="00DA12D8">
        <w:rPr>
          <w:rFonts w:ascii="Times New Roman" w:hAnsi="Times New Roman" w:cs="Times New Roman"/>
          <w:szCs w:val="22"/>
        </w:rPr>
        <w:t xml:space="preserve">water quality </w:t>
      </w:r>
      <w:r w:rsidR="008B0BD2" w:rsidRPr="004B4A0F">
        <w:rPr>
          <w:rFonts w:ascii="Times New Roman" w:hAnsi="Times New Roman" w:cs="Arial Unicode MS" w:hint="cs"/>
          <w:szCs w:val="22"/>
          <w:cs/>
        </w:rPr>
        <w:t xml:space="preserve"> </w:t>
      </w:r>
    </w:p>
    <w:p w:rsidR="00481B28" w:rsidRPr="004B4A0F" w:rsidRDefault="00481B28" w:rsidP="0065169A">
      <w:pPr>
        <w:spacing w:after="0" w:line="240" w:lineRule="auto"/>
        <w:jc w:val="both"/>
        <w:rPr>
          <w:rFonts w:ascii="Times New Roman" w:hAnsi="Times New Roman" w:cs="Times New Roman"/>
          <w:sz w:val="24"/>
          <w:szCs w:val="24"/>
        </w:rPr>
      </w:pPr>
    </w:p>
    <w:p w:rsidR="00EB4702" w:rsidRPr="004B4A0F" w:rsidRDefault="00EB4702" w:rsidP="0065169A">
      <w:pPr>
        <w:spacing w:after="0" w:line="240" w:lineRule="auto"/>
        <w:jc w:val="both"/>
        <w:rPr>
          <w:rFonts w:ascii="Times New Roman" w:hAnsi="Times New Roman" w:cs="Times New Roman"/>
          <w:sz w:val="24"/>
          <w:szCs w:val="24"/>
        </w:rPr>
      </w:pPr>
    </w:p>
    <w:p w:rsidR="000D2ACF" w:rsidRPr="0065169A" w:rsidRDefault="0065169A" w:rsidP="0065169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008B0BD2" w:rsidRPr="0065169A">
        <w:rPr>
          <w:rFonts w:ascii="Times New Roman" w:hAnsi="Times New Roman" w:cs="Times New Roman"/>
          <w:b/>
          <w:bCs/>
          <w:sz w:val="24"/>
          <w:szCs w:val="24"/>
        </w:rPr>
        <w:t>Introduction</w:t>
      </w:r>
    </w:p>
    <w:p w:rsidR="00614419" w:rsidRPr="004B4A0F" w:rsidRDefault="008B0BD2" w:rsidP="0065169A">
      <w:pPr>
        <w:pStyle w:val="HTMLPreformatted"/>
        <w:shd w:val="clear" w:color="auto" w:fill="F8F9FA"/>
        <w:spacing w:line="360" w:lineRule="auto"/>
        <w:contextualSpacing/>
        <w:jc w:val="both"/>
        <w:rPr>
          <w:rFonts w:ascii="Times New Roman" w:hAnsi="Times New Roman" w:cs="Times New Roman"/>
          <w:sz w:val="22"/>
          <w:szCs w:val="22"/>
        </w:rPr>
      </w:pPr>
      <w:r w:rsidRPr="004B4A0F">
        <w:rPr>
          <w:rStyle w:val="y2iqfc"/>
          <w:rFonts w:ascii="Times New Roman" w:hAnsi="Times New Roman" w:cs="Times New Roman"/>
          <w:sz w:val="22"/>
          <w:szCs w:val="22"/>
          <w:cs/>
        </w:rPr>
        <w:tab/>
      </w:r>
      <w:r w:rsidR="00C25972" w:rsidRPr="004B4A0F">
        <w:rPr>
          <w:rStyle w:val="y2iqfc"/>
          <w:rFonts w:ascii="Times New Roman" w:hAnsi="Times New Roman" w:cs="Times New Roman"/>
          <w:sz w:val="22"/>
          <w:szCs w:val="22"/>
        </w:rPr>
        <w:t>Groundwater pollution is increasing due to rapid urbanization and industrialization</w:t>
      </w:r>
      <w:r w:rsidR="00C25972" w:rsidRPr="004B4A0F">
        <w:rPr>
          <w:rStyle w:val="y2iqfc"/>
          <w:rFonts w:ascii="Times New Roman" w:hAnsi="Times New Roman" w:cs="Times New Roman"/>
          <w:sz w:val="22"/>
          <w:szCs w:val="22"/>
          <w:cs/>
        </w:rPr>
        <w:t xml:space="preserve"> </w:t>
      </w:r>
      <w:r w:rsidR="00C25972" w:rsidRPr="004B4A0F">
        <w:rPr>
          <w:rStyle w:val="y2iqfc"/>
          <w:rFonts w:ascii="Times New Roman" w:hAnsi="Times New Roman" w:cs="Times New Roman"/>
          <w:sz w:val="22"/>
          <w:szCs w:val="22"/>
        </w:rPr>
        <w:t>in the world.</w:t>
      </w:r>
      <w:r w:rsidR="00C25972" w:rsidRPr="004B4A0F">
        <w:rPr>
          <w:rStyle w:val="y2iqfc"/>
          <w:rFonts w:ascii="Times New Roman" w:hAnsi="Times New Roman" w:cs="Times New Roman"/>
          <w:sz w:val="22"/>
          <w:szCs w:val="22"/>
          <w:cs/>
        </w:rPr>
        <w:t xml:space="preserve"> </w:t>
      </w:r>
      <w:r w:rsidR="00EA5FA6" w:rsidRPr="004B4A0F">
        <w:rPr>
          <w:rFonts w:ascii="Times New Roman" w:hAnsi="Times New Roman" w:cs="Times New Roman"/>
          <w:sz w:val="22"/>
          <w:szCs w:val="22"/>
        </w:rPr>
        <w:t xml:space="preserve">In present years, an increasing hazard to ground water quality as well as quantity due to human activities has become of great importance </w:t>
      </w:r>
      <w:r w:rsidR="009A7A31" w:rsidRPr="004B4A0F">
        <w:rPr>
          <w:rFonts w:ascii="Times New Roman" w:hAnsi="Times New Roman" w:cs="Times New Roman"/>
          <w:sz w:val="22"/>
          <w:szCs w:val="22"/>
        </w:rPr>
        <w:t>[1]</w:t>
      </w:r>
      <w:r w:rsidR="00C25972" w:rsidRPr="004B4A0F">
        <w:rPr>
          <w:rFonts w:ascii="Times New Roman" w:hAnsi="Times New Roman" w:cs="Times New Roman"/>
          <w:i/>
          <w:iCs/>
          <w:sz w:val="22"/>
          <w:szCs w:val="22"/>
          <w:cs/>
        </w:rPr>
        <w:t xml:space="preserve">. </w:t>
      </w:r>
      <w:r w:rsidR="00C86225" w:rsidRPr="004B4A0F">
        <w:rPr>
          <w:rFonts w:ascii="Times New Roman" w:hAnsi="Times New Roman" w:cs="Times New Roman"/>
          <w:sz w:val="22"/>
          <w:szCs w:val="22"/>
        </w:rPr>
        <w:t xml:space="preserve">The groundwater is a most important source of water for domestic and agricultural activities in </w:t>
      </w:r>
      <w:proofErr w:type="spellStart"/>
      <w:r w:rsidR="00C86225" w:rsidRPr="004B4A0F">
        <w:rPr>
          <w:rFonts w:ascii="Times New Roman" w:hAnsi="Times New Roman" w:cs="Times New Roman"/>
          <w:sz w:val="22"/>
          <w:szCs w:val="22"/>
        </w:rPr>
        <w:t>Purna</w:t>
      </w:r>
      <w:proofErr w:type="spellEnd"/>
      <w:r w:rsidR="00C86225" w:rsidRPr="004B4A0F">
        <w:rPr>
          <w:rFonts w:ascii="Times New Roman" w:hAnsi="Times New Roman" w:cs="Times New Roman"/>
          <w:sz w:val="22"/>
          <w:szCs w:val="22"/>
        </w:rPr>
        <w:t xml:space="preserve"> basin area. </w:t>
      </w:r>
      <w:r w:rsidR="00614419" w:rsidRPr="004B4A0F">
        <w:rPr>
          <w:rFonts w:ascii="Times New Roman" w:hAnsi="Times New Roman" w:cs="Times New Roman"/>
          <w:sz w:val="22"/>
          <w:szCs w:val="22"/>
        </w:rPr>
        <w:t xml:space="preserve">The study area covering about of 6,090 km2 area, </w:t>
      </w:r>
      <w:proofErr w:type="gramStart"/>
      <w:r w:rsidR="00614419" w:rsidRPr="004B4A0F">
        <w:rPr>
          <w:rFonts w:ascii="Times New Roman" w:hAnsi="Times New Roman" w:cs="Times New Roman"/>
          <w:sz w:val="22"/>
          <w:szCs w:val="22"/>
        </w:rPr>
        <w:t>of</w:t>
      </w:r>
      <w:proofErr w:type="gramEnd"/>
      <w:r w:rsidR="00614419" w:rsidRPr="004B4A0F">
        <w:rPr>
          <w:rFonts w:ascii="Times New Roman" w:hAnsi="Times New Roman" w:cs="Times New Roman"/>
          <w:sz w:val="22"/>
          <w:szCs w:val="22"/>
        </w:rPr>
        <w:t xml:space="preserve"> which, 2,726 km2 central </w:t>
      </w:r>
      <w:r w:rsidR="002C5329" w:rsidRPr="004B4A0F">
        <w:rPr>
          <w:rFonts w:ascii="Times New Roman" w:hAnsi="Times New Roman" w:cs="Times New Roman"/>
          <w:sz w:val="22"/>
          <w:szCs w:val="22"/>
        </w:rPr>
        <w:t>parts</w:t>
      </w:r>
      <w:r w:rsidR="00614419" w:rsidRPr="004B4A0F">
        <w:rPr>
          <w:rFonts w:ascii="Times New Roman" w:hAnsi="Times New Roman" w:cs="Times New Roman"/>
          <w:sz w:val="22"/>
          <w:szCs w:val="22"/>
        </w:rPr>
        <w:t xml:space="preserve"> is marked by saline groundwater</w:t>
      </w:r>
      <w:r w:rsidR="009A7A31" w:rsidRPr="004B4A0F">
        <w:rPr>
          <w:rFonts w:ascii="Times New Roman" w:hAnsi="Times New Roman" w:cs="Times New Roman"/>
          <w:sz w:val="22"/>
          <w:szCs w:val="22"/>
        </w:rPr>
        <w:t xml:space="preserve"> [2]</w:t>
      </w:r>
      <w:r w:rsidR="00614419" w:rsidRPr="004B4A0F">
        <w:rPr>
          <w:rFonts w:ascii="Times New Roman" w:hAnsi="Times New Roman" w:cs="Times New Roman"/>
          <w:sz w:val="22"/>
          <w:szCs w:val="22"/>
        </w:rPr>
        <w:t>. Study area lies in between longitudes 75˚56'25" to 77˚56'46"E and latitudes 20˚08'31" to 21˚40'30"N. The climate of the study area falls in subtropical zone and experiences very hot summers and moderately cold winters. Average Temperature in summer is 40 C, in winter is 14 C and rainfall is 770 mm.</w:t>
      </w:r>
    </w:p>
    <w:p w:rsidR="000D2ACF" w:rsidRPr="004B4A0F" w:rsidRDefault="000D2ACF" w:rsidP="002C7FF5">
      <w:pPr>
        <w:spacing w:after="0" w:line="360" w:lineRule="auto"/>
        <w:contextualSpacing/>
      </w:pPr>
    </w:p>
    <w:p w:rsidR="000D2ACF" w:rsidRPr="0065169A" w:rsidRDefault="0065169A" w:rsidP="0065169A">
      <w:pPr>
        <w:spacing w:after="0" w:line="360" w:lineRule="auto"/>
        <w:jc w:val="both"/>
        <w:rPr>
          <w:rFonts w:ascii="Times New Roman" w:hAnsi="Times New Roman" w:cs="Times New Roman"/>
          <w:b/>
          <w:bCs/>
          <w:sz w:val="24"/>
          <w:szCs w:val="24"/>
        </w:rPr>
      </w:pPr>
      <w:r w:rsidRPr="0065169A">
        <w:rPr>
          <w:rFonts w:ascii="Times New Roman" w:hAnsi="Times New Roman" w:cs="Times New Roman"/>
          <w:b/>
          <w:bCs/>
          <w:sz w:val="24"/>
          <w:szCs w:val="24"/>
        </w:rPr>
        <w:t>2.</w:t>
      </w:r>
      <w:r>
        <w:rPr>
          <w:rFonts w:ascii="Times New Roman" w:hAnsi="Times New Roman" w:cs="Times New Roman"/>
          <w:b/>
          <w:bCs/>
          <w:sz w:val="24"/>
          <w:szCs w:val="24"/>
        </w:rPr>
        <w:t xml:space="preserve"> </w:t>
      </w:r>
      <w:r w:rsidR="000D2ACF" w:rsidRPr="0065169A">
        <w:rPr>
          <w:rFonts w:ascii="Times New Roman" w:hAnsi="Times New Roman" w:cs="Times New Roman"/>
          <w:b/>
          <w:bCs/>
          <w:sz w:val="24"/>
          <w:szCs w:val="24"/>
        </w:rPr>
        <w:t xml:space="preserve">Methodology: </w:t>
      </w:r>
    </w:p>
    <w:p w:rsidR="000D2ACF" w:rsidRPr="004B4A0F" w:rsidRDefault="004754D2" w:rsidP="002C7FF5">
      <w:pPr>
        <w:spacing w:after="0" w:line="360" w:lineRule="auto"/>
        <w:contextualSpacing/>
        <w:jc w:val="both"/>
        <w:rPr>
          <w:rFonts w:ascii="Times New Roman" w:hAnsi="Times New Roman" w:cs="Times New Roman"/>
          <w:szCs w:val="22"/>
        </w:rPr>
      </w:pPr>
      <w:r w:rsidRPr="004B4A0F">
        <w:rPr>
          <w:rFonts w:ascii="Times New Roman" w:hAnsi="Times New Roman" w:cs="Times New Roman"/>
          <w:szCs w:val="22"/>
        </w:rPr>
        <w:t xml:space="preserve">Samples were analyzed in the laboratory for the </w:t>
      </w:r>
      <w:proofErr w:type="spellStart"/>
      <w:r w:rsidRPr="004B4A0F">
        <w:rPr>
          <w:rFonts w:ascii="Times New Roman" w:hAnsi="Times New Roman" w:cs="Times New Roman"/>
          <w:szCs w:val="22"/>
        </w:rPr>
        <w:t>physico</w:t>
      </w:r>
      <w:proofErr w:type="spellEnd"/>
      <w:r w:rsidRPr="004B4A0F">
        <w:rPr>
          <w:rFonts w:ascii="Times New Roman" w:hAnsi="Times New Roman" w:cs="Times New Roman"/>
          <w:szCs w:val="22"/>
        </w:rPr>
        <w:t xml:space="preserve">-chemical attributes like pH, electrical conductivity (EC), total hardness (TH), Dissolved Oxygen (DO), total dissolved solids (TDS), and major ions (Ca2+, Mg2+, Na+ , K+ , </w:t>
      </w:r>
      <w:proofErr w:type="spellStart"/>
      <w:r w:rsidRPr="004B4A0F">
        <w:rPr>
          <w:rFonts w:ascii="Times New Roman" w:hAnsi="Times New Roman" w:cs="Times New Roman"/>
          <w:szCs w:val="22"/>
        </w:rPr>
        <w:t>Cl</w:t>
      </w:r>
      <w:proofErr w:type="spellEnd"/>
      <w:r w:rsidRPr="004B4A0F">
        <w:rPr>
          <w:rFonts w:ascii="Times New Roman" w:hAnsi="Times New Roman" w:cs="Times New Roman"/>
          <w:szCs w:val="22"/>
        </w:rPr>
        <w:t>– , HCO3 – and SO4 2–). All parameters were analyzed by following standard methods</w:t>
      </w:r>
      <w:r w:rsidR="00174E40" w:rsidRPr="004B4A0F">
        <w:rPr>
          <w:rFonts w:ascii="Times New Roman" w:hAnsi="Times New Roman" w:cs="Times New Roman"/>
          <w:szCs w:val="22"/>
        </w:rPr>
        <w:t xml:space="preserve"> [3]</w:t>
      </w:r>
      <w:r w:rsidRPr="004B4A0F">
        <w:rPr>
          <w:rFonts w:ascii="Times New Roman" w:hAnsi="Times New Roman" w:cs="Times New Roman"/>
          <w:szCs w:val="22"/>
        </w:rPr>
        <w:t xml:space="preserve">. The pH and conductivity were measured by using </w:t>
      </w:r>
      <w:proofErr w:type="spellStart"/>
      <w:r w:rsidRPr="004B4A0F">
        <w:rPr>
          <w:rFonts w:ascii="Times New Roman" w:hAnsi="Times New Roman" w:cs="Times New Roman"/>
          <w:szCs w:val="22"/>
        </w:rPr>
        <w:t>using</w:t>
      </w:r>
      <w:proofErr w:type="spellEnd"/>
      <w:r w:rsidRPr="004B4A0F">
        <w:rPr>
          <w:rFonts w:ascii="Times New Roman" w:hAnsi="Times New Roman" w:cs="Times New Roman"/>
          <w:szCs w:val="22"/>
        </w:rPr>
        <w:t xml:space="preserve"> portable meters. Total dissolved solids (TDS) concentration was calculated from EC adhering to the procedur</w:t>
      </w:r>
      <w:r w:rsidR="004B4A0F">
        <w:rPr>
          <w:rFonts w:ascii="Times New Roman" w:hAnsi="Times New Roman" w:cs="Times New Roman"/>
          <w:szCs w:val="22"/>
        </w:rPr>
        <w:t xml:space="preserve">e </w:t>
      </w:r>
      <w:r w:rsidR="00174E40" w:rsidRPr="004B4A0F">
        <w:rPr>
          <w:rFonts w:ascii="Times New Roman" w:hAnsi="Times New Roman" w:cs="Times New Roman"/>
          <w:szCs w:val="22"/>
        </w:rPr>
        <w:t>[4]</w:t>
      </w:r>
      <w:r w:rsidRPr="004B4A0F">
        <w:rPr>
          <w:rFonts w:ascii="Times New Roman" w:hAnsi="Times New Roman" w:cs="Times New Roman"/>
          <w:szCs w:val="22"/>
        </w:rPr>
        <w:t>. Alkalinity (Al), calcium (Ca), chloride (</w:t>
      </w:r>
      <w:proofErr w:type="spellStart"/>
      <w:r w:rsidRPr="004B4A0F">
        <w:rPr>
          <w:rFonts w:ascii="Times New Roman" w:hAnsi="Times New Roman" w:cs="Times New Roman"/>
          <w:szCs w:val="22"/>
        </w:rPr>
        <w:t>Cl</w:t>
      </w:r>
      <w:proofErr w:type="spellEnd"/>
      <w:r w:rsidRPr="004B4A0F">
        <w:rPr>
          <w:rFonts w:ascii="Times New Roman" w:hAnsi="Times New Roman" w:cs="Times New Roman"/>
          <w:szCs w:val="22"/>
        </w:rPr>
        <w:t xml:space="preserve">) and total hardness (TH) were determined by respective volumetric titration methods. Magnesium (Mg) is measured by subtracting calcium value from the total hardness. Bicarbonate (HCO3) was calculated by the numerical calculation of pH and phenolphthalein alkalinity </w:t>
      </w:r>
      <w:r w:rsidRPr="004B4A0F">
        <w:rPr>
          <w:rFonts w:ascii="Times New Roman" w:hAnsi="Times New Roman" w:cs="Times New Roman"/>
          <w:szCs w:val="22"/>
        </w:rPr>
        <w:lastRenderedPageBreak/>
        <w:t xml:space="preserve">values. Sodium (Na) and potassium (K) were determined by using flame photometer, whereas, SO4 and NO3 by UVVIS spectrophotometer. The values of various parameters were later used to find out Sodium percent of groundwater using formula as proposed by </w:t>
      </w:r>
      <w:proofErr w:type="spellStart"/>
      <w:r w:rsidRPr="004B4A0F">
        <w:rPr>
          <w:rFonts w:ascii="Times New Roman" w:hAnsi="Times New Roman" w:cs="Times New Roman"/>
          <w:szCs w:val="22"/>
        </w:rPr>
        <w:t>Doneen</w:t>
      </w:r>
      <w:proofErr w:type="spellEnd"/>
      <w:r w:rsidRPr="004B4A0F">
        <w:rPr>
          <w:rFonts w:ascii="Times New Roman" w:hAnsi="Times New Roman" w:cs="Times New Roman"/>
          <w:szCs w:val="22"/>
        </w:rPr>
        <w:t xml:space="preserve"> (1962)</w:t>
      </w:r>
      <w:r w:rsidR="00174E40" w:rsidRPr="004B4A0F">
        <w:rPr>
          <w:rFonts w:ascii="Times New Roman" w:hAnsi="Times New Roman" w:cs="Times New Roman"/>
          <w:szCs w:val="22"/>
        </w:rPr>
        <w:t xml:space="preserve"> [5]</w:t>
      </w:r>
      <w:r w:rsidRPr="004B4A0F">
        <w:rPr>
          <w:rFonts w:ascii="Times New Roman" w:hAnsi="Times New Roman" w:cs="Times New Roman"/>
          <w:szCs w:val="22"/>
        </w:rPr>
        <w:t>.</w:t>
      </w:r>
    </w:p>
    <w:p w:rsidR="002C7FF5" w:rsidRPr="004B4A0F" w:rsidRDefault="002C7FF5" w:rsidP="002C7FF5">
      <w:pPr>
        <w:spacing w:after="0" w:line="360" w:lineRule="auto"/>
        <w:contextualSpacing/>
        <w:rPr>
          <w:rFonts w:ascii="Times New Roman" w:hAnsi="Times New Roman" w:cs="Arial Unicode MS"/>
          <w:b/>
          <w:bCs/>
          <w:sz w:val="24"/>
          <w:szCs w:val="24"/>
        </w:rPr>
      </w:pPr>
    </w:p>
    <w:p w:rsidR="00EB4702" w:rsidRPr="004B4A0F" w:rsidRDefault="0065169A" w:rsidP="002C7FF5">
      <w:pPr>
        <w:spacing w:after="0" w:line="360" w:lineRule="auto"/>
        <w:contextualSpacing/>
        <w:rPr>
          <w:rFonts w:ascii="Times New Roman" w:hAnsi="Times New Roman" w:cs="Times New Roman"/>
          <w:b/>
          <w:bCs/>
          <w:szCs w:val="22"/>
        </w:rPr>
      </w:pPr>
      <w:r>
        <w:rPr>
          <w:rFonts w:ascii="Times New Roman" w:hAnsi="Times New Roman" w:cs="Times New Roman"/>
          <w:b/>
          <w:bCs/>
          <w:szCs w:val="22"/>
        </w:rPr>
        <w:t xml:space="preserve">3. </w:t>
      </w:r>
      <w:r w:rsidR="00111159" w:rsidRPr="004B4A0F">
        <w:rPr>
          <w:rFonts w:ascii="Times New Roman" w:hAnsi="Times New Roman" w:cs="Times New Roman"/>
          <w:b/>
          <w:bCs/>
          <w:szCs w:val="22"/>
        </w:rPr>
        <w:t xml:space="preserve">Result and Discussion </w:t>
      </w:r>
    </w:p>
    <w:p w:rsidR="00DD6F6D" w:rsidRPr="004B4A0F" w:rsidRDefault="00DD6F6D" w:rsidP="002C7FF5">
      <w:pPr>
        <w:spacing w:after="0" w:line="360" w:lineRule="auto"/>
        <w:contextualSpacing/>
        <w:jc w:val="both"/>
        <w:rPr>
          <w:rFonts w:ascii="Times New Roman" w:hAnsi="Times New Roman" w:cs="Times New Roman"/>
          <w:szCs w:val="22"/>
        </w:rPr>
      </w:pPr>
      <w:r w:rsidRPr="004B4A0F">
        <w:rPr>
          <w:rFonts w:ascii="Times New Roman" w:hAnsi="Times New Roman" w:cs="Times New Roman"/>
          <w:szCs w:val="22"/>
        </w:rPr>
        <w:t xml:space="preserve">Sodium concentration is an important parameter to classify the irrigation water, as the excess sodium in water produces undesirable effects by changing soil properties including reduction of soil permeability </w:t>
      </w:r>
      <w:r w:rsidR="00174E40" w:rsidRPr="004B4A0F">
        <w:rPr>
          <w:rFonts w:ascii="Times New Roman" w:hAnsi="Times New Roman" w:cs="Times New Roman"/>
          <w:szCs w:val="22"/>
        </w:rPr>
        <w:t>[6</w:t>
      </w:r>
      <w:r w:rsidR="004B4A0F">
        <w:rPr>
          <w:rFonts w:ascii="Times New Roman" w:hAnsi="Times New Roman" w:cs="Times New Roman"/>
          <w:szCs w:val="22"/>
        </w:rPr>
        <w:t>]</w:t>
      </w:r>
      <w:r w:rsidR="00174E40" w:rsidRPr="004B4A0F">
        <w:rPr>
          <w:rFonts w:ascii="Times New Roman" w:hAnsi="Times New Roman" w:cs="Times New Roman"/>
          <w:szCs w:val="22"/>
        </w:rPr>
        <w:t xml:space="preserve"> and </w:t>
      </w:r>
      <w:r w:rsidR="004B4A0F">
        <w:rPr>
          <w:rFonts w:ascii="Times New Roman" w:hAnsi="Times New Roman" w:cs="Times New Roman"/>
          <w:szCs w:val="22"/>
        </w:rPr>
        <w:t>[</w:t>
      </w:r>
      <w:r w:rsidR="00174E40" w:rsidRPr="004B4A0F">
        <w:rPr>
          <w:rFonts w:ascii="Times New Roman" w:hAnsi="Times New Roman" w:cs="Times New Roman"/>
          <w:szCs w:val="22"/>
        </w:rPr>
        <w:t>7]</w:t>
      </w:r>
      <w:r w:rsidR="00EA5FA6" w:rsidRPr="004B4A0F">
        <w:rPr>
          <w:rFonts w:ascii="Times New Roman" w:hAnsi="Times New Roman" w:cs="Times New Roman"/>
          <w:szCs w:val="22"/>
        </w:rPr>
        <w:t>.</w:t>
      </w:r>
      <w:r w:rsidRPr="004B4A0F">
        <w:rPr>
          <w:rFonts w:ascii="Times New Roman" w:hAnsi="Times New Roman" w:cs="Times New Roman"/>
          <w:szCs w:val="22"/>
        </w:rPr>
        <w:t xml:space="preserve"> In all natural water, its percentage is a parameter to evaluate its suitability for agricultural purposes (Wilcox, 1948). Sodium combining with carbonate can lead to the formation of alkaline soil, while with chloride produces saline soil </w:t>
      </w:r>
      <w:r w:rsidR="004B4A0F">
        <w:rPr>
          <w:rFonts w:ascii="Times New Roman" w:hAnsi="Times New Roman" w:cs="Times New Roman"/>
          <w:szCs w:val="22"/>
        </w:rPr>
        <w:t>[8]</w:t>
      </w:r>
      <w:r w:rsidRPr="004B4A0F">
        <w:rPr>
          <w:rFonts w:ascii="Times New Roman" w:hAnsi="Times New Roman" w:cs="Times New Roman"/>
          <w:szCs w:val="22"/>
        </w:rPr>
        <w:t xml:space="preserve">. </w:t>
      </w:r>
    </w:p>
    <w:p w:rsidR="00DD6F6D" w:rsidRPr="004B4A0F" w:rsidRDefault="00DD6F6D" w:rsidP="002C7FF5">
      <w:pPr>
        <w:spacing w:after="0" w:line="360" w:lineRule="auto"/>
        <w:contextualSpacing/>
        <w:jc w:val="both"/>
        <w:rPr>
          <w:rFonts w:ascii="Times New Roman" w:hAnsi="Times New Roman" w:cs="Times New Roman"/>
          <w:szCs w:val="22"/>
        </w:rPr>
      </w:pPr>
      <w:r w:rsidRPr="004B4A0F">
        <w:rPr>
          <w:rFonts w:ascii="Times New Roman" w:hAnsi="Times New Roman" w:cs="Times New Roman"/>
          <w:szCs w:val="22"/>
        </w:rPr>
        <w:tab/>
        <w:t xml:space="preserve">The sodium in irrigation water is usually denoted as percent sodium and is calculated by the following formula as proposed by </w:t>
      </w:r>
      <w:proofErr w:type="spellStart"/>
      <w:r w:rsidRPr="004B4A0F">
        <w:rPr>
          <w:rFonts w:ascii="Times New Roman" w:hAnsi="Times New Roman" w:cs="Times New Roman"/>
          <w:szCs w:val="22"/>
        </w:rPr>
        <w:t>Doneen</w:t>
      </w:r>
      <w:proofErr w:type="spellEnd"/>
      <w:r w:rsidRPr="004B4A0F">
        <w:rPr>
          <w:rFonts w:ascii="Times New Roman" w:hAnsi="Times New Roman" w:cs="Times New Roman"/>
          <w:szCs w:val="22"/>
        </w:rPr>
        <w:t xml:space="preserve"> (1962</w:t>
      </w:r>
      <w:proofErr w:type="gramStart"/>
      <w:r w:rsidRPr="004B4A0F">
        <w:rPr>
          <w:rFonts w:ascii="Times New Roman" w:hAnsi="Times New Roman" w:cs="Times New Roman"/>
          <w:szCs w:val="22"/>
        </w:rPr>
        <w:t>)</w:t>
      </w:r>
      <w:r w:rsidR="0040144C" w:rsidRPr="004B4A0F">
        <w:rPr>
          <w:rFonts w:ascii="Times New Roman" w:hAnsi="Times New Roman" w:cs="Times New Roman"/>
          <w:szCs w:val="22"/>
        </w:rPr>
        <w:t>[</w:t>
      </w:r>
      <w:proofErr w:type="gramEnd"/>
      <w:r w:rsidR="0040144C" w:rsidRPr="004B4A0F">
        <w:rPr>
          <w:rFonts w:ascii="Times New Roman" w:hAnsi="Times New Roman" w:cs="Times New Roman"/>
          <w:szCs w:val="22"/>
        </w:rPr>
        <w:t>5]</w:t>
      </w:r>
      <w:r w:rsidRPr="004B4A0F">
        <w:rPr>
          <w:rFonts w:ascii="Times New Roman" w:hAnsi="Times New Roman" w:cs="Times New Roman"/>
          <w:szCs w:val="22"/>
        </w:rPr>
        <w:t xml:space="preserve">; </w:t>
      </w:r>
    </w:p>
    <w:p w:rsidR="00DD6F6D" w:rsidRPr="004B4A0F" w:rsidRDefault="00DD6F6D" w:rsidP="002C7FF5">
      <w:pPr>
        <w:spacing w:after="0" w:line="360" w:lineRule="auto"/>
        <w:contextualSpacing/>
        <w:jc w:val="both"/>
        <w:rPr>
          <w:rFonts w:ascii="Times New Roman" w:hAnsi="Times New Roman" w:cs="Times New Roman"/>
          <w:szCs w:val="22"/>
        </w:rPr>
      </w:pPr>
    </w:p>
    <w:p w:rsidR="00DD6F6D" w:rsidRPr="004B4A0F" w:rsidRDefault="00DD6F6D" w:rsidP="002C7FF5">
      <w:pPr>
        <w:spacing w:after="0" w:line="360" w:lineRule="auto"/>
        <w:contextualSpacing/>
        <w:jc w:val="both"/>
        <w:rPr>
          <w:rFonts w:ascii="Times New Roman" w:hAnsi="Times New Roman" w:cs="Times New Roman"/>
          <w:szCs w:val="22"/>
        </w:rPr>
      </w:pPr>
      <m:oMathPara>
        <m:oMath>
          <m:r>
            <m:rPr>
              <m:sty m:val="p"/>
            </m:rPr>
            <w:rPr>
              <w:rFonts w:ascii="Cambria Math" w:hAnsi="Times New Roman" w:cs="Times New Roman"/>
              <w:szCs w:val="22"/>
            </w:rPr>
            <m:t>Na %=</m:t>
          </m:r>
          <m:f>
            <m:fPr>
              <m:ctrlPr>
                <w:rPr>
                  <w:rFonts w:ascii="Cambria Math" w:hAnsi="Times New Roman" w:cs="Times New Roman"/>
                  <w:szCs w:val="22"/>
                </w:rPr>
              </m:ctrlPr>
            </m:fPr>
            <m:num>
              <m:r>
                <m:rPr>
                  <m:sty m:val="p"/>
                </m:rPr>
                <w:rPr>
                  <w:rFonts w:ascii="Cambria Math" w:hAnsi="Times New Roman" w:cs="Times New Roman"/>
                  <w:szCs w:val="22"/>
                </w:rPr>
                <m:t>(</m:t>
              </m:r>
              <m:sSup>
                <m:sSupPr>
                  <m:ctrlPr>
                    <w:rPr>
                      <w:rFonts w:ascii="Cambria Math" w:hAnsi="Times New Roman" w:cs="Times New Roman"/>
                      <w:szCs w:val="22"/>
                    </w:rPr>
                  </m:ctrlPr>
                </m:sSupPr>
                <m:e>
                  <m:r>
                    <m:rPr>
                      <m:sty m:val="p"/>
                    </m:rPr>
                    <w:rPr>
                      <w:rFonts w:ascii="Cambria Math" w:hAnsi="Times New Roman" w:cs="Times New Roman"/>
                      <w:szCs w:val="22"/>
                    </w:rPr>
                    <m:t>Na</m:t>
                  </m:r>
                </m:e>
                <m:sup>
                  <m:r>
                    <m:rPr>
                      <m:sty m:val="p"/>
                    </m:rPr>
                    <w:rPr>
                      <w:rFonts w:ascii="Cambria Math" w:hAnsi="Times New Roman" w:cs="Times New Roman"/>
                      <w:szCs w:val="22"/>
                    </w:rPr>
                    <m:t>+</m:t>
                  </m:r>
                </m:sup>
              </m:sSup>
              <m:r>
                <m:rPr>
                  <m:sty m:val="p"/>
                </m:rPr>
                <w:rPr>
                  <w:rFonts w:ascii="Cambria Math" w:hAnsi="Times New Roman" w:cs="Times New Roman"/>
                  <w:szCs w:val="22"/>
                </w:rPr>
                <m:t>) 100</m:t>
              </m:r>
            </m:num>
            <m:den>
              <m:sSup>
                <m:sSupPr>
                  <m:ctrlPr>
                    <w:rPr>
                      <w:rFonts w:ascii="Cambria Math" w:hAnsi="Times New Roman" w:cs="Times New Roman"/>
                      <w:szCs w:val="22"/>
                    </w:rPr>
                  </m:ctrlPr>
                </m:sSupPr>
                <m:e>
                  <m:r>
                    <m:rPr>
                      <m:sty m:val="p"/>
                    </m:rPr>
                    <w:rPr>
                      <w:rFonts w:ascii="Cambria Math" w:hAnsi="Times New Roman" w:cs="Times New Roman"/>
                      <w:szCs w:val="22"/>
                    </w:rPr>
                    <m:t>(Ca</m:t>
                  </m:r>
                </m:e>
                <m:sup>
                  <m:r>
                    <m:rPr>
                      <m:sty m:val="p"/>
                    </m:rPr>
                    <w:rPr>
                      <w:rFonts w:ascii="Cambria Math" w:hAnsi="Times New Roman" w:cs="Times New Roman"/>
                      <w:szCs w:val="22"/>
                    </w:rPr>
                    <m:t>2+</m:t>
                  </m:r>
                </m:sup>
              </m:sSup>
              <m:sSup>
                <m:sSupPr>
                  <m:ctrlPr>
                    <w:rPr>
                      <w:rFonts w:ascii="Cambria Math" w:hAnsi="Times New Roman" w:cs="Times New Roman"/>
                      <w:szCs w:val="22"/>
                    </w:rPr>
                  </m:ctrlPr>
                </m:sSupPr>
                <m:e>
                  <m:r>
                    <m:rPr>
                      <m:sty m:val="p"/>
                    </m:rPr>
                    <w:rPr>
                      <w:rFonts w:ascii="Cambria Math" w:hAnsi="Times New Roman" w:cs="Times New Roman"/>
                      <w:szCs w:val="22"/>
                    </w:rPr>
                    <m:t>+Mg</m:t>
                  </m:r>
                </m:e>
                <m:sup>
                  <m:r>
                    <m:rPr>
                      <m:sty m:val="p"/>
                    </m:rPr>
                    <w:rPr>
                      <w:rFonts w:ascii="Cambria Math" w:hAnsi="Times New Roman" w:cs="Times New Roman"/>
                      <w:szCs w:val="22"/>
                    </w:rPr>
                    <m:t>2+</m:t>
                  </m:r>
                </m:sup>
              </m:sSup>
              <m:sSup>
                <m:sSupPr>
                  <m:ctrlPr>
                    <w:rPr>
                      <w:rFonts w:ascii="Cambria Math" w:hAnsi="Times New Roman" w:cs="Times New Roman"/>
                      <w:szCs w:val="22"/>
                    </w:rPr>
                  </m:ctrlPr>
                </m:sSupPr>
                <m:e>
                  <m:r>
                    <m:rPr>
                      <m:sty m:val="p"/>
                    </m:rPr>
                    <w:rPr>
                      <w:rFonts w:ascii="Cambria Math" w:hAnsi="Times New Roman" w:cs="Times New Roman"/>
                      <w:szCs w:val="22"/>
                    </w:rPr>
                    <m:t>+Na</m:t>
                  </m:r>
                </m:e>
                <m:sup>
                  <m:r>
                    <m:rPr>
                      <m:sty m:val="p"/>
                    </m:rPr>
                    <w:rPr>
                      <w:rFonts w:ascii="Cambria Math" w:hAnsi="Times New Roman" w:cs="Times New Roman"/>
                      <w:szCs w:val="22"/>
                    </w:rPr>
                    <m:t>+</m:t>
                  </m:r>
                </m:sup>
              </m:sSup>
              <m:sSup>
                <m:sSupPr>
                  <m:ctrlPr>
                    <w:rPr>
                      <w:rFonts w:ascii="Cambria Math" w:hAnsi="Times New Roman" w:cs="Times New Roman"/>
                      <w:szCs w:val="22"/>
                    </w:rPr>
                  </m:ctrlPr>
                </m:sSupPr>
                <m:e>
                  <m:r>
                    <m:rPr>
                      <m:sty m:val="p"/>
                    </m:rPr>
                    <w:rPr>
                      <w:rFonts w:ascii="Cambria Math" w:hAnsi="Times New Roman" w:cs="Times New Roman"/>
                      <w:szCs w:val="22"/>
                    </w:rPr>
                    <m:t>+K</m:t>
                  </m:r>
                </m:e>
                <m:sup>
                  <m:r>
                    <m:rPr>
                      <m:sty m:val="p"/>
                    </m:rPr>
                    <w:rPr>
                      <w:rFonts w:ascii="Cambria Math" w:hAnsi="Times New Roman" w:cs="Times New Roman"/>
                      <w:szCs w:val="22"/>
                    </w:rPr>
                    <m:t>+</m:t>
                  </m:r>
                </m:sup>
              </m:sSup>
              <m:r>
                <m:rPr>
                  <m:sty m:val="p"/>
                </m:rPr>
                <w:rPr>
                  <w:rFonts w:ascii="Cambria Math" w:hAnsi="Times New Roman" w:cs="Times New Roman"/>
                  <w:szCs w:val="22"/>
                </w:rPr>
                <m:t>)</m:t>
              </m:r>
            </m:den>
          </m:f>
        </m:oMath>
      </m:oMathPara>
    </w:p>
    <w:p w:rsidR="00DD6F6D" w:rsidRPr="004B4A0F" w:rsidRDefault="00DD6F6D" w:rsidP="002C7FF5">
      <w:pPr>
        <w:spacing w:after="0" w:line="360" w:lineRule="auto"/>
        <w:ind w:firstLine="720"/>
        <w:contextualSpacing/>
        <w:jc w:val="both"/>
        <w:rPr>
          <w:rFonts w:ascii="Times New Roman" w:hAnsi="Times New Roman" w:cs="Times New Roman"/>
          <w:i/>
          <w:szCs w:val="22"/>
        </w:rPr>
      </w:pPr>
      <w:r w:rsidRPr="004B4A0F">
        <w:rPr>
          <w:rFonts w:ascii="Times New Roman" w:hAnsi="Times New Roman" w:cs="Times New Roman"/>
          <w:i/>
          <w:szCs w:val="22"/>
        </w:rPr>
        <w:t>Where, the quantity of Ca</w:t>
      </w:r>
      <w:r w:rsidRPr="004B4A0F">
        <w:rPr>
          <w:rFonts w:ascii="Times New Roman" w:hAnsi="Times New Roman" w:cs="Times New Roman"/>
          <w:i/>
          <w:szCs w:val="22"/>
          <w:vertAlign w:val="superscript"/>
        </w:rPr>
        <w:t>2+</w:t>
      </w:r>
      <w:r w:rsidRPr="004B4A0F">
        <w:rPr>
          <w:rFonts w:ascii="Times New Roman" w:hAnsi="Times New Roman" w:cs="Times New Roman"/>
          <w:i/>
          <w:szCs w:val="22"/>
        </w:rPr>
        <w:t>, Mg</w:t>
      </w:r>
      <w:r w:rsidRPr="004B4A0F">
        <w:rPr>
          <w:rFonts w:ascii="Times New Roman" w:hAnsi="Times New Roman" w:cs="Times New Roman"/>
          <w:i/>
          <w:szCs w:val="22"/>
          <w:vertAlign w:val="superscript"/>
        </w:rPr>
        <w:t>2+</w:t>
      </w:r>
      <w:r w:rsidRPr="004B4A0F">
        <w:rPr>
          <w:rFonts w:ascii="Times New Roman" w:hAnsi="Times New Roman" w:cs="Times New Roman"/>
          <w:i/>
          <w:szCs w:val="22"/>
        </w:rPr>
        <w:t>, Na</w:t>
      </w:r>
      <w:r w:rsidRPr="004B4A0F">
        <w:rPr>
          <w:rFonts w:ascii="Times New Roman" w:hAnsi="Times New Roman" w:cs="Times New Roman"/>
          <w:i/>
          <w:szCs w:val="22"/>
          <w:vertAlign w:val="superscript"/>
        </w:rPr>
        <w:t>+</w:t>
      </w:r>
      <w:r w:rsidRPr="004B4A0F">
        <w:rPr>
          <w:rFonts w:ascii="Times New Roman" w:hAnsi="Times New Roman" w:cs="Times New Roman"/>
          <w:i/>
          <w:szCs w:val="22"/>
        </w:rPr>
        <w:t xml:space="preserve"> and K</w:t>
      </w:r>
      <w:r w:rsidRPr="004B4A0F">
        <w:rPr>
          <w:rFonts w:ascii="Times New Roman" w:hAnsi="Times New Roman" w:cs="Times New Roman"/>
          <w:i/>
          <w:szCs w:val="22"/>
          <w:vertAlign w:val="superscript"/>
        </w:rPr>
        <w:t>+</w:t>
      </w:r>
      <w:r w:rsidRPr="004B4A0F">
        <w:rPr>
          <w:rFonts w:ascii="Times New Roman" w:hAnsi="Times New Roman" w:cs="Times New Roman"/>
          <w:i/>
          <w:szCs w:val="22"/>
        </w:rPr>
        <w:t xml:space="preserve"> are expressed in </w:t>
      </w:r>
      <w:proofErr w:type="spellStart"/>
      <w:r w:rsidRPr="004B4A0F">
        <w:rPr>
          <w:rFonts w:ascii="Times New Roman" w:hAnsi="Times New Roman" w:cs="Times New Roman"/>
          <w:i/>
          <w:szCs w:val="22"/>
        </w:rPr>
        <w:t>meq</w:t>
      </w:r>
      <w:proofErr w:type="spellEnd"/>
      <w:r w:rsidRPr="004B4A0F">
        <w:rPr>
          <w:rFonts w:ascii="Times New Roman" w:hAnsi="Times New Roman" w:cs="Times New Roman"/>
          <w:i/>
          <w:szCs w:val="22"/>
        </w:rPr>
        <w:t>/l.</w:t>
      </w:r>
    </w:p>
    <w:p w:rsidR="00DD6F6D" w:rsidRPr="004B4A0F" w:rsidRDefault="00DD6F6D" w:rsidP="002C7FF5">
      <w:pPr>
        <w:spacing w:after="0" w:line="360" w:lineRule="auto"/>
        <w:contextualSpacing/>
        <w:jc w:val="both"/>
        <w:rPr>
          <w:rFonts w:ascii="Times New Roman" w:hAnsi="Times New Roman" w:cs="Times New Roman"/>
          <w:szCs w:val="22"/>
        </w:rPr>
      </w:pPr>
    </w:p>
    <w:p w:rsidR="00DD6F6D" w:rsidRPr="004B4A0F" w:rsidRDefault="00DD6F6D" w:rsidP="002C7FF5">
      <w:pPr>
        <w:spacing w:after="0" w:line="360" w:lineRule="auto"/>
        <w:contextualSpacing/>
        <w:jc w:val="both"/>
        <w:rPr>
          <w:rFonts w:ascii="Times New Roman" w:hAnsi="Times New Roman" w:cs="Times New Roman"/>
          <w:szCs w:val="22"/>
        </w:rPr>
      </w:pPr>
      <w:r w:rsidRPr="004B4A0F">
        <w:rPr>
          <w:rFonts w:ascii="Times New Roman" w:hAnsi="Times New Roman" w:cs="Times New Roman"/>
          <w:szCs w:val="22"/>
        </w:rPr>
        <w:t xml:space="preserve">Tables 1 show the Na % values of individual samples. On the basis of Na %, </w:t>
      </w:r>
      <w:r w:rsidR="0040144C" w:rsidRPr="004B4A0F">
        <w:rPr>
          <w:rFonts w:ascii="Times New Roman" w:hAnsi="Times New Roman" w:cs="Times New Roman"/>
          <w:szCs w:val="22"/>
        </w:rPr>
        <w:t>[</w:t>
      </w:r>
      <w:r w:rsidR="004B4A0F">
        <w:rPr>
          <w:rFonts w:ascii="Times New Roman" w:hAnsi="Times New Roman" w:cs="Times New Roman"/>
          <w:szCs w:val="22"/>
        </w:rPr>
        <w:t>9</w:t>
      </w:r>
      <w:r w:rsidR="0040144C" w:rsidRPr="004B4A0F">
        <w:rPr>
          <w:rFonts w:ascii="Times New Roman" w:hAnsi="Times New Roman" w:cs="Times New Roman"/>
          <w:szCs w:val="22"/>
        </w:rPr>
        <w:t>]</w:t>
      </w:r>
      <w:r w:rsidRPr="004B4A0F">
        <w:rPr>
          <w:rFonts w:ascii="Times New Roman" w:hAnsi="Times New Roman" w:cs="Times New Roman"/>
          <w:szCs w:val="22"/>
        </w:rPr>
        <w:t xml:space="preserve"> </w:t>
      </w:r>
      <w:r w:rsidR="0040144C" w:rsidRPr="004B4A0F">
        <w:rPr>
          <w:rFonts w:ascii="Times New Roman" w:hAnsi="Times New Roman" w:cs="Times New Roman"/>
          <w:szCs w:val="22"/>
        </w:rPr>
        <w:t>categorized</w:t>
      </w:r>
      <w:r w:rsidRPr="004B4A0F">
        <w:rPr>
          <w:rFonts w:ascii="Times New Roman" w:hAnsi="Times New Roman" w:cs="Times New Roman"/>
          <w:szCs w:val="22"/>
        </w:rPr>
        <w:t xml:space="preserve"> five classes of water </w:t>
      </w:r>
      <w:r w:rsidRPr="004B4A0F">
        <w:rPr>
          <w:rFonts w:ascii="Times New Roman" w:hAnsi="Times New Roman" w:cs="Times New Roman"/>
          <w:i/>
          <w:szCs w:val="22"/>
        </w:rPr>
        <w:t xml:space="preserve">i.e., </w:t>
      </w:r>
      <w:r w:rsidRPr="004B4A0F">
        <w:rPr>
          <w:rFonts w:ascii="Times New Roman" w:hAnsi="Times New Roman" w:cs="Times New Roman"/>
          <w:szCs w:val="22"/>
        </w:rPr>
        <w:t xml:space="preserve">excellent, good, permissible, doubtful and unsuitable. Accordingly, the samples were classified in various categories (Table 6.3). The table </w:t>
      </w:r>
      <w:proofErr w:type="spellStart"/>
      <w:r w:rsidRPr="004B4A0F">
        <w:rPr>
          <w:rFonts w:ascii="Times New Roman" w:hAnsi="Times New Roman" w:cs="Times New Roman"/>
          <w:szCs w:val="22"/>
        </w:rPr>
        <w:t>shhows</w:t>
      </w:r>
      <w:proofErr w:type="spellEnd"/>
      <w:r w:rsidRPr="004B4A0F">
        <w:rPr>
          <w:rFonts w:ascii="Times New Roman" w:hAnsi="Times New Roman" w:cs="Times New Roman"/>
          <w:szCs w:val="22"/>
        </w:rPr>
        <w:t xml:space="preserve"> that out of 94 samples each in pre- and post- monsoon periods of the year 2006 the groundwater of nine locations in pre- monsoon  and  sixteen  locations  in  post-monsoon  periods  of  2006 are of excellent category and are suitable for irrigation purpose. Similarly, the water of good to permissible categories in the range of 20 to 60 </w:t>
      </w:r>
      <w:r w:rsidR="00D51131" w:rsidRPr="004B4A0F">
        <w:rPr>
          <w:rFonts w:ascii="Times New Roman" w:hAnsi="Times New Roman" w:cs="Times New Roman"/>
          <w:szCs w:val="22"/>
        </w:rPr>
        <w:t>exists</w:t>
      </w:r>
      <w:r w:rsidRPr="004B4A0F">
        <w:rPr>
          <w:rFonts w:ascii="Times New Roman" w:hAnsi="Times New Roman" w:cs="Times New Roman"/>
          <w:szCs w:val="22"/>
        </w:rPr>
        <w:t xml:space="preserve"> at 55</w:t>
      </w:r>
      <w:r w:rsidR="00D51131" w:rsidRPr="004B4A0F">
        <w:rPr>
          <w:rFonts w:ascii="Times New Roman" w:hAnsi="Times New Roman" w:cs="Times New Roman"/>
          <w:szCs w:val="22"/>
        </w:rPr>
        <w:t xml:space="preserve">samples each during pre-monsoon and </w:t>
      </w:r>
      <w:r w:rsidRPr="004B4A0F">
        <w:rPr>
          <w:rFonts w:ascii="Times New Roman" w:hAnsi="Times New Roman" w:cs="Times New Roman"/>
          <w:szCs w:val="22"/>
        </w:rPr>
        <w:t xml:space="preserve">post-monsoon </w:t>
      </w:r>
      <w:r w:rsidR="00D51131" w:rsidRPr="004B4A0F">
        <w:rPr>
          <w:rFonts w:ascii="Times New Roman" w:hAnsi="Times New Roman" w:cs="Times New Roman"/>
          <w:szCs w:val="22"/>
        </w:rPr>
        <w:t xml:space="preserve">periods </w:t>
      </w:r>
      <w:r w:rsidRPr="004B4A0F">
        <w:rPr>
          <w:rFonts w:ascii="Times New Roman" w:hAnsi="Times New Roman" w:cs="Times New Roman"/>
          <w:szCs w:val="22"/>
        </w:rPr>
        <w:t>(Table</w:t>
      </w:r>
      <w:r w:rsidR="00D51131" w:rsidRPr="004B4A0F">
        <w:rPr>
          <w:rFonts w:ascii="Times New Roman" w:hAnsi="Times New Roman" w:cs="Times New Roman"/>
          <w:szCs w:val="22"/>
        </w:rPr>
        <w:t xml:space="preserve"> 1</w:t>
      </w:r>
      <w:r w:rsidRPr="004B4A0F">
        <w:rPr>
          <w:rFonts w:ascii="Times New Roman" w:hAnsi="Times New Roman" w:cs="Times New Roman"/>
          <w:szCs w:val="22"/>
        </w:rPr>
        <w:t xml:space="preserve">). However, 3 and 5 samples during pre- and post-monsoon periods are unsuitable having Na% more </w:t>
      </w:r>
      <w:r w:rsidR="00D51131" w:rsidRPr="004B4A0F">
        <w:rPr>
          <w:rFonts w:ascii="Times New Roman" w:hAnsi="Times New Roman" w:cs="Times New Roman"/>
          <w:szCs w:val="22"/>
        </w:rPr>
        <w:t xml:space="preserve">than 80. </w:t>
      </w:r>
      <w:r w:rsidRPr="004B4A0F">
        <w:rPr>
          <w:rFonts w:ascii="Times New Roman" w:hAnsi="Times New Roman" w:cs="Times New Roman"/>
          <w:szCs w:val="22"/>
        </w:rPr>
        <w:t xml:space="preserve">The water of doubtful and unsuitable categories </w:t>
      </w:r>
      <w:r w:rsidR="00935F29" w:rsidRPr="004B4A0F">
        <w:rPr>
          <w:rFonts w:ascii="Times New Roman" w:hAnsi="Times New Roman" w:cs="Times New Roman"/>
          <w:szCs w:val="22"/>
        </w:rPr>
        <w:t>has</w:t>
      </w:r>
      <w:r w:rsidRPr="004B4A0F">
        <w:rPr>
          <w:rFonts w:ascii="Times New Roman" w:hAnsi="Times New Roman" w:cs="Times New Roman"/>
          <w:szCs w:val="22"/>
        </w:rPr>
        <w:t xml:space="preserve"> restricted occurrences in the areas of </w:t>
      </w:r>
      <w:proofErr w:type="spellStart"/>
      <w:r w:rsidRPr="004B4A0F">
        <w:rPr>
          <w:rFonts w:ascii="Times New Roman" w:hAnsi="Times New Roman" w:cs="Times New Roman"/>
          <w:szCs w:val="22"/>
        </w:rPr>
        <w:t>Bhatkuli</w:t>
      </w:r>
      <w:proofErr w:type="spellEnd"/>
      <w:r w:rsidRPr="004B4A0F">
        <w:rPr>
          <w:rFonts w:ascii="Times New Roman" w:hAnsi="Times New Roman" w:cs="Times New Roman"/>
          <w:szCs w:val="22"/>
        </w:rPr>
        <w:t xml:space="preserve">, Amravati and Akola </w:t>
      </w:r>
      <w:proofErr w:type="spellStart"/>
      <w:r w:rsidRPr="004B4A0F">
        <w:rPr>
          <w:rFonts w:ascii="Times New Roman" w:hAnsi="Times New Roman" w:cs="Times New Roman"/>
          <w:szCs w:val="22"/>
        </w:rPr>
        <w:t>tahsils</w:t>
      </w:r>
      <w:proofErr w:type="spellEnd"/>
      <w:r w:rsidRPr="004B4A0F">
        <w:rPr>
          <w:rFonts w:ascii="Times New Roman" w:hAnsi="Times New Roman" w:cs="Times New Roman"/>
          <w:szCs w:val="22"/>
        </w:rPr>
        <w:t>.</w:t>
      </w:r>
      <w:r w:rsidR="00E87D9E" w:rsidRPr="004B4A0F">
        <w:rPr>
          <w:rFonts w:ascii="Times New Roman" w:hAnsi="Times New Roman" w:cs="Times New Roman"/>
          <w:szCs w:val="22"/>
        </w:rPr>
        <w:t xml:space="preserve"> The high percentage of sodium in water produces undesirable effects by changing soil properties including reduction of soil permeability. Sodium combining with carbonate can lead to the formation of alkaline soil, while with chloride produces saline soil</w:t>
      </w:r>
      <w:r w:rsidR="004B4A0F">
        <w:rPr>
          <w:rFonts w:ascii="Times New Roman" w:hAnsi="Times New Roman" w:cs="Times New Roman"/>
          <w:szCs w:val="22"/>
        </w:rPr>
        <w:t xml:space="preserve"> </w:t>
      </w:r>
      <w:r w:rsidR="0040144C" w:rsidRPr="004B4A0F">
        <w:rPr>
          <w:rFonts w:ascii="Times New Roman" w:hAnsi="Times New Roman" w:cs="Times New Roman"/>
          <w:szCs w:val="22"/>
        </w:rPr>
        <w:t>[</w:t>
      </w:r>
      <w:r w:rsidR="004B4A0F">
        <w:rPr>
          <w:rFonts w:ascii="Times New Roman" w:hAnsi="Times New Roman" w:cs="Times New Roman"/>
          <w:szCs w:val="22"/>
        </w:rPr>
        <w:t>8</w:t>
      </w:r>
      <w:r w:rsidR="0040144C" w:rsidRPr="004B4A0F">
        <w:rPr>
          <w:rFonts w:ascii="Times New Roman" w:hAnsi="Times New Roman" w:cs="Times New Roman"/>
          <w:szCs w:val="22"/>
        </w:rPr>
        <w:t>]</w:t>
      </w:r>
      <w:r w:rsidR="00E87D9E" w:rsidRPr="004B4A0F">
        <w:rPr>
          <w:rFonts w:ascii="Times New Roman" w:hAnsi="Times New Roman" w:cs="Times New Roman"/>
          <w:szCs w:val="22"/>
        </w:rPr>
        <w:t>.</w:t>
      </w:r>
    </w:p>
    <w:p w:rsidR="00CD2DF9" w:rsidRDefault="00CD2DF9" w:rsidP="002C7FF5">
      <w:pPr>
        <w:spacing w:after="0" w:line="360" w:lineRule="auto"/>
        <w:rPr>
          <w:rFonts w:ascii="Times New Roman" w:hAnsi="Times New Roman" w:cs="Times New Roman"/>
          <w:b/>
          <w:bCs/>
          <w:sz w:val="24"/>
          <w:szCs w:val="24"/>
        </w:rPr>
      </w:pPr>
    </w:p>
    <w:p w:rsidR="000D2ACF" w:rsidRPr="004B4A0F" w:rsidRDefault="00CD2DF9" w:rsidP="002C7FF5">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4. </w:t>
      </w:r>
      <w:r w:rsidR="000D2ACF" w:rsidRPr="004B4A0F">
        <w:rPr>
          <w:rFonts w:ascii="Times New Roman" w:hAnsi="Times New Roman" w:cs="Times New Roman"/>
          <w:b/>
          <w:bCs/>
          <w:sz w:val="24"/>
          <w:szCs w:val="24"/>
        </w:rPr>
        <w:t>Conclusion</w:t>
      </w:r>
    </w:p>
    <w:p w:rsidR="000D2ACF" w:rsidRPr="004B4A0F" w:rsidRDefault="000D2ACF" w:rsidP="002C7FF5">
      <w:pPr>
        <w:spacing w:after="0" w:line="360" w:lineRule="auto"/>
        <w:jc w:val="both"/>
        <w:rPr>
          <w:rFonts w:ascii="Times New Roman" w:hAnsi="Times New Roman" w:cs="Times New Roman"/>
          <w:szCs w:val="22"/>
        </w:rPr>
      </w:pPr>
      <w:r w:rsidRPr="004B4A0F">
        <w:rPr>
          <w:rFonts w:ascii="Times New Roman" w:hAnsi="Times New Roman" w:cs="Times New Roman"/>
          <w:szCs w:val="22"/>
        </w:rPr>
        <w:t xml:space="preserve">The values of </w:t>
      </w:r>
      <w:r w:rsidR="00935F29" w:rsidRPr="004B4A0F">
        <w:rPr>
          <w:rFonts w:ascii="Times New Roman" w:hAnsi="Times New Roman" w:cs="Times New Roman"/>
          <w:szCs w:val="22"/>
        </w:rPr>
        <w:t xml:space="preserve">sodium percent </w:t>
      </w:r>
      <w:r w:rsidRPr="004B4A0F">
        <w:rPr>
          <w:rFonts w:ascii="Times New Roman" w:hAnsi="Times New Roman" w:cs="Times New Roman"/>
          <w:szCs w:val="22"/>
        </w:rPr>
        <w:t xml:space="preserve">in the present study conclude that </w:t>
      </w:r>
      <w:r w:rsidR="00935F29" w:rsidRPr="004B4A0F">
        <w:rPr>
          <w:rFonts w:ascii="Times New Roman" w:hAnsi="Times New Roman" w:cs="Times New Roman"/>
          <w:szCs w:val="22"/>
        </w:rPr>
        <w:t xml:space="preserve">Most the groundwater samples falls </w:t>
      </w:r>
      <w:r w:rsidR="00E87D9E" w:rsidRPr="004B4A0F">
        <w:rPr>
          <w:rFonts w:ascii="Times New Roman" w:hAnsi="Times New Roman" w:cs="Times New Roman"/>
          <w:szCs w:val="22"/>
        </w:rPr>
        <w:t>in doubtful</w:t>
      </w:r>
      <w:r w:rsidR="00935F29" w:rsidRPr="004B4A0F">
        <w:rPr>
          <w:rFonts w:ascii="Times New Roman" w:hAnsi="Times New Roman" w:cs="Times New Roman"/>
          <w:szCs w:val="22"/>
        </w:rPr>
        <w:t xml:space="preserve"> to </w:t>
      </w:r>
      <w:r w:rsidR="00E87D9E" w:rsidRPr="004B4A0F">
        <w:rPr>
          <w:rFonts w:ascii="Times New Roman" w:hAnsi="Times New Roman" w:cs="Times New Roman"/>
          <w:szCs w:val="22"/>
        </w:rPr>
        <w:t xml:space="preserve">unsuitable category having sodium percent value </w:t>
      </w:r>
      <w:r w:rsidR="00935F29" w:rsidRPr="004B4A0F">
        <w:rPr>
          <w:rFonts w:ascii="Times New Roman" w:hAnsi="Times New Roman" w:cs="Times New Roman"/>
          <w:szCs w:val="22"/>
        </w:rPr>
        <w:t>more</w:t>
      </w:r>
      <w:r w:rsidRPr="004B4A0F">
        <w:rPr>
          <w:rFonts w:ascii="Times New Roman" w:hAnsi="Times New Roman" w:cs="Times New Roman"/>
          <w:szCs w:val="22"/>
        </w:rPr>
        <w:t xml:space="preserve"> than </w:t>
      </w:r>
      <w:r w:rsidR="00935F29" w:rsidRPr="004B4A0F">
        <w:rPr>
          <w:rFonts w:ascii="Times New Roman" w:hAnsi="Times New Roman" w:cs="Times New Roman"/>
          <w:szCs w:val="22"/>
        </w:rPr>
        <w:t>60</w:t>
      </w:r>
      <w:r w:rsidRPr="004B4A0F">
        <w:rPr>
          <w:rFonts w:ascii="Times New Roman" w:hAnsi="Times New Roman" w:cs="Times New Roman"/>
          <w:szCs w:val="22"/>
        </w:rPr>
        <w:t>. It indicates</w:t>
      </w:r>
      <w:r w:rsidR="009E66D9" w:rsidRPr="004B4A0F">
        <w:rPr>
          <w:rFonts w:ascii="Times New Roman" w:hAnsi="Times New Roman" w:cs="Times New Roman"/>
          <w:szCs w:val="22"/>
        </w:rPr>
        <w:t xml:space="preserve"> that</w:t>
      </w:r>
      <w:r w:rsidRPr="004B4A0F">
        <w:rPr>
          <w:rFonts w:ascii="Times New Roman" w:hAnsi="Times New Roman" w:cs="Times New Roman"/>
          <w:szCs w:val="22"/>
        </w:rPr>
        <w:t xml:space="preserve"> excessive </w:t>
      </w:r>
      <w:r w:rsidRPr="004B4A0F">
        <w:rPr>
          <w:rFonts w:ascii="Times New Roman" w:hAnsi="Times New Roman" w:cs="Times New Roman"/>
          <w:szCs w:val="22"/>
        </w:rPr>
        <w:lastRenderedPageBreak/>
        <w:t xml:space="preserve">sodium in water </w:t>
      </w:r>
      <w:r w:rsidR="00111159" w:rsidRPr="004B4A0F">
        <w:rPr>
          <w:rFonts w:ascii="Times New Roman" w:hAnsi="Times New Roman" w:cs="Times New Roman"/>
          <w:szCs w:val="22"/>
        </w:rPr>
        <w:t>is</w:t>
      </w:r>
      <w:r w:rsidR="009E66D9" w:rsidRPr="004B4A0F">
        <w:rPr>
          <w:rFonts w:ascii="Times New Roman" w:hAnsi="Times New Roman" w:cs="Times New Roman"/>
          <w:szCs w:val="22"/>
        </w:rPr>
        <w:t xml:space="preserve"> un</w:t>
      </w:r>
      <w:r w:rsidRPr="004B4A0F">
        <w:rPr>
          <w:rFonts w:ascii="Times New Roman" w:hAnsi="Times New Roman" w:cs="Times New Roman"/>
          <w:szCs w:val="22"/>
        </w:rPr>
        <w:t>suitable for irrigation</w:t>
      </w:r>
      <w:r w:rsidR="009E66D9" w:rsidRPr="004B4A0F">
        <w:rPr>
          <w:rFonts w:ascii="Times New Roman" w:hAnsi="Times New Roman" w:cs="Times New Roman"/>
          <w:szCs w:val="22"/>
        </w:rPr>
        <w:t xml:space="preserve"> quality</w:t>
      </w:r>
      <w:r w:rsidRPr="004B4A0F">
        <w:rPr>
          <w:rFonts w:ascii="Times New Roman" w:hAnsi="Times New Roman" w:cs="Times New Roman"/>
          <w:szCs w:val="22"/>
        </w:rPr>
        <w:t xml:space="preserve">. However, few samples, having </w:t>
      </w:r>
      <w:r w:rsidR="00111159" w:rsidRPr="004B4A0F">
        <w:rPr>
          <w:rFonts w:ascii="Times New Roman" w:hAnsi="Times New Roman" w:cs="Times New Roman"/>
          <w:szCs w:val="22"/>
        </w:rPr>
        <w:t>sodium</w:t>
      </w:r>
      <w:r w:rsidR="009E66D9" w:rsidRPr="004B4A0F">
        <w:rPr>
          <w:rFonts w:ascii="Times New Roman" w:hAnsi="Times New Roman" w:cs="Times New Roman"/>
          <w:szCs w:val="22"/>
        </w:rPr>
        <w:t xml:space="preserve"> percent less </w:t>
      </w:r>
      <w:r w:rsidR="007D0D52" w:rsidRPr="004B4A0F">
        <w:rPr>
          <w:rFonts w:ascii="Times New Roman" w:hAnsi="Times New Roman" w:cs="Times New Roman"/>
          <w:szCs w:val="22"/>
        </w:rPr>
        <w:t>than</w:t>
      </w:r>
      <w:r w:rsidR="009E66D9" w:rsidRPr="004B4A0F">
        <w:rPr>
          <w:rFonts w:ascii="Times New Roman" w:hAnsi="Times New Roman" w:cs="Times New Roman"/>
          <w:szCs w:val="22"/>
        </w:rPr>
        <w:t xml:space="preserve"> 40</w:t>
      </w:r>
      <w:r w:rsidRPr="004B4A0F">
        <w:rPr>
          <w:rFonts w:ascii="Times New Roman" w:hAnsi="Times New Roman" w:cs="Times New Roman"/>
          <w:szCs w:val="22"/>
        </w:rPr>
        <w:t xml:space="preserve"> </w:t>
      </w:r>
      <w:r w:rsidR="00111159" w:rsidRPr="004B4A0F">
        <w:rPr>
          <w:rFonts w:ascii="Times New Roman" w:hAnsi="Times New Roman" w:cs="Times New Roman"/>
          <w:szCs w:val="22"/>
        </w:rPr>
        <w:t>values</w:t>
      </w:r>
      <w:r w:rsidRPr="004B4A0F">
        <w:rPr>
          <w:rFonts w:ascii="Times New Roman" w:hAnsi="Times New Roman" w:cs="Times New Roman"/>
          <w:szCs w:val="22"/>
        </w:rPr>
        <w:t xml:space="preserve"> indicate the good water quality for irrigation.</w:t>
      </w:r>
    </w:p>
    <w:p w:rsidR="000D2ACF" w:rsidRPr="004B4A0F" w:rsidRDefault="000D2ACF"/>
    <w:p w:rsidR="000D2ACF" w:rsidRPr="004B4A0F" w:rsidRDefault="000D2ACF">
      <w:pPr>
        <w:rPr>
          <w:rFonts w:ascii="Times New Roman" w:hAnsi="Times New Roman" w:cs="Times New Roman"/>
          <w:b/>
          <w:bCs/>
          <w:sz w:val="24"/>
          <w:szCs w:val="24"/>
        </w:rPr>
      </w:pPr>
      <w:r w:rsidRPr="004B4A0F">
        <w:rPr>
          <w:rFonts w:ascii="Times New Roman" w:hAnsi="Times New Roman" w:cs="Times New Roman"/>
          <w:b/>
          <w:bCs/>
          <w:sz w:val="24"/>
          <w:szCs w:val="24"/>
        </w:rPr>
        <w:t xml:space="preserve">References </w:t>
      </w:r>
    </w:p>
    <w:p w:rsidR="0040144C" w:rsidRPr="0065169A" w:rsidRDefault="0040144C" w:rsidP="00750E33">
      <w:pPr>
        <w:spacing w:after="0" w:line="360" w:lineRule="auto"/>
        <w:ind w:left="360" w:hanging="360"/>
        <w:jc w:val="both"/>
        <w:rPr>
          <w:rFonts w:ascii="Times New Roman" w:hAnsi="Times New Roman" w:cs="Times New Roman"/>
          <w:szCs w:val="22"/>
        </w:rPr>
      </w:pPr>
      <w:r w:rsidRPr="0065169A">
        <w:rPr>
          <w:rFonts w:ascii="Times New Roman" w:hAnsi="Times New Roman" w:cs="Times New Roman"/>
          <w:szCs w:val="22"/>
        </w:rPr>
        <w:t xml:space="preserve">[1] R. </w:t>
      </w:r>
      <w:proofErr w:type="spellStart"/>
      <w:r w:rsidRPr="0065169A">
        <w:rPr>
          <w:rFonts w:ascii="Times New Roman" w:hAnsi="Times New Roman" w:cs="Times New Roman"/>
          <w:szCs w:val="22"/>
        </w:rPr>
        <w:t>Ara</w:t>
      </w:r>
      <w:proofErr w:type="spellEnd"/>
      <w:r w:rsidRPr="0065169A">
        <w:rPr>
          <w:rFonts w:ascii="Times New Roman" w:hAnsi="Times New Roman" w:cs="Times New Roman"/>
          <w:szCs w:val="22"/>
        </w:rPr>
        <w:t xml:space="preserve"> </w:t>
      </w:r>
      <w:proofErr w:type="spellStart"/>
      <w:r w:rsidRPr="0065169A">
        <w:rPr>
          <w:rFonts w:ascii="Times New Roman" w:hAnsi="Times New Roman" w:cs="Times New Roman"/>
          <w:szCs w:val="22"/>
        </w:rPr>
        <w:t>Wani</w:t>
      </w:r>
      <w:proofErr w:type="spellEnd"/>
      <w:r w:rsidRPr="0065169A">
        <w:rPr>
          <w:rFonts w:ascii="Times New Roman" w:hAnsi="Times New Roman" w:cs="Times New Roman"/>
          <w:szCs w:val="22"/>
        </w:rPr>
        <w:t xml:space="preserve"> , A </w:t>
      </w:r>
      <w:proofErr w:type="spellStart"/>
      <w:r w:rsidRPr="0065169A">
        <w:rPr>
          <w:rFonts w:ascii="Times New Roman" w:hAnsi="Times New Roman" w:cs="Times New Roman"/>
          <w:szCs w:val="22"/>
        </w:rPr>
        <w:t>Hussain</w:t>
      </w:r>
      <w:proofErr w:type="spellEnd"/>
      <w:r w:rsidRPr="0065169A">
        <w:rPr>
          <w:rFonts w:ascii="Times New Roman" w:hAnsi="Times New Roman" w:cs="Times New Roman"/>
          <w:szCs w:val="22"/>
        </w:rPr>
        <w:t xml:space="preserve"> Mir, A. </w:t>
      </w:r>
      <w:proofErr w:type="spellStart"/>
      <w:r w:rsidRPr="0065169A">
        <w:rPr>
          <w:rFonts w:ascii="Times New Roman" w:hAnsi="Times New Roman" w:cs="Times New Roman"/>
          <w:szCs w:val="22"/>
        </w:rPr>
        <w:t>Tanveer</w:t>
      </w:r>
      <w:proofErr w:type="spellEnd"/>
      <w:r w:rsidRPr="0065169A">
        <w:rPr>
          <w:rFonts w:ascii="Times New Roman" w:hAnsi="Times New Roman" w:cs="Times New Roman"/>
          <w:szCs w:val="22"/>
        </w:rPr>
        <w:t xml:space="preserve">, A. </w:t>
      </w:r>
      <w:proofErr w:type="spellStart"/>
      <w:r w:rsidRPr="0065169A">
        <w:rPr>
          <w:rFonts w:ascii="Times New Roman" w:hAnsi="Times New Roman" w:cs="Times New Roman"/>
          <w:szCs w:val="22"/>
        </w:rPr>
        <w:t>Jehangir</w:t>
      </w:r>
      <w:proofErr w:type="spellEnd"/>
      <w:r w:rsidRPr="0065169A">
        <w:rPr>
          <w:rFonts w:ascii="Times New Roman" w:hAnsi="Times New Roman" w:cs="Times New Roman"/>
          <w:szCs w:val="22"/>
        </w:rPr>
        <w:t xml:space="preserve">, A. R. </w:t>
      </w:r>
      <w:proofErr w:type="spellStart"/>
      <w:r w:rsidRPr="0065169A">
        <w:rPr>
          <w:rFonts w:ascii="Times New Roman" w:hAnsi="Times New Roman" w:cs="Times New Roman"/>
          <w:szCs w:val="22"/>
        </w:rPr>
        <w:t>Yousuf</w:t>
      </w:r>
      <w:proofErr w:type="spellEnd"/>
      <w:r w:rsidRPr="0065169A">
        <w:rPr>
          <w:rFonts w:ascii="Times New Roman" w:hAnsi="Times New Roman" w:cs="Times New Roman"/>
          <w:szCs w:val="22"/>
        </w:rPr>
        <w:t xml:space="preserve">, </w:t>
      </w:r>
      <w:r w:rsidR="0065169A" w:rsidRPr="0065169A">
        <w:rPr>
          <w:rFonts w:ascii="Times New Roman" w:hAnsi="Times New Roman" w:cs="Times New Roman"/>
          <w:szCs w:val="22"/>
        </w:rPr>
        <w:t>“</w:t>
      </w:r>
      <w:r w:rsidRPr="0065169A">
        <w:rPr>
          <w:rFonts w:ascii="Times New Roman" w:hAnsi="Times New Roman" w:cs="Times New Roman"/>
          <w:szCs w:val="22"/>
        </w:rPr>
        <w:t>Preliminary study on irrigational quality of some ground water sources of Kashmir, India</w:t>
      </w:r>
      <w:r w:rsidR="0065169A" w:rsidRPr="0065169A">
        <w:rPr>
          <w:rFonts w:ascii="Times New Roman" w:hAnsi="Times New Roman" w:cs="Times New Roman"/>
          <w:szCs w:val="22"/>
        </w:rPr>
        <w:t xml:space="preserve">,” </w:t>
      </w:r>
      <w:r w:rsidRPr="0065169A">
        <w:rPr>
          <w:rFonts w:ascii="Times New Roman" w:hAnsi="Times New Roman" w:cs="Times New Roman"/>
          <w:szCs w:val="22"/>
        </w:rPr>
        <w:t>Inter. J. Scientific &amp; Eng</w:t>
      </w:r>
      <w:r w:rsidR="0065169A" w:rsidRPr="0065169A">
        <w:rPr>
          <w:rFonts w:ascii="Times New Roman" w:hAnsi="Times New Roman" w:cs="Times New Roman"/>
          <w:szCs w:val="22"/>
        </w:rPr>
        <w:t>.</w:t>
      </w:r>
      <w:r w:rsidRPr="0065169A">
        <w:rPr>
          <w:rFonts w:ascii="Times New Roman" w:hAnsi="Times New Roman" w:cs="Times New Roman"/>
          <w:szCs w:val="22"/>
        </w:rPr>
        <w:t xml:space="preserve"> Res, 2014, </w:t>
      </w:r>
      <w:proofErr w:type="spellStart"/>
      <w:r w:rsidRPr="0065169A">
        <w:rPr>
          <w:rFonts w:ascii="Times New Roman" w:hAnsi="Times New Roman" w:cs="Times New Roman"/>
          <w:szCs w:val="22"/>
        </w:rPr>
        <w:t>vol</w:t>
      </w:r>
      <w:proofErr w:type="spellEnd"/>
      <w:r w:rsidRPr="0065169A">
        <w:rPr>
          <w:rFonts w:ascii="Times New Roman" w:hAnsi="Times New Roman" w:cs="Times New Roman"/>
          <w:szCs w:val="22"/>
        </w:rPr>
        <w:t xml:space="preserve"> 5 (2).</w:t>
      </w:r>
    </w:p>
    <w:p w:rsidR="0040144C" w:rsidRPr="0065169A" w:rsidRDefault="0040144C" w:rsidP="00750E33">
      <w:pPr>
        <w:spacing w:after="0" w:line="360" w:lineRule="auto"/>
        <w:ind w:left="360" w:hanging="360"/>
        <w:jc w:val="both"/>
        <w:rPr>
          <w:rFonts w:ascii="Times New Roman" w:hAnsi="Times New Roman" w:cs="Times New Roman"/>
          <w:szCs w:val="22"/>
        </w:rPr>
      </w:pPr>
      <w:r w:rsidRPr="0065169A">
        <w:rPr>
          <w:rFonts w:ascii="Times New Roman" w:hAnsi="Times New Roman" w:cs="Times New Roman"/>
          <w:szCs w:val="22"/>
        </w:rPr>
        <w:t>[2]</w:t>
      </w:r>
      <w:r w:rsidR="00750E33" w:rsidRPr="0065169A">
        <w:rPr>
          <w:rFonts w:ascii="Times New Roman" w:hAnsi="Times New Roman" w:cs="Times New Roman"/>
          <w:szCs w:val="22"/>
        </w:rPr>
        <w:t xml:space="preserve"> </w:t>
      </w:r>
      <w:r w:rsidRPr="0065169A">
        <w:rPr>
          <w:rFonts w:ascii="Times New Roman" w:hAnsi="Times New Roman" w:cs="Times New Roman"/>
          <w:szCs w:val="22"/>
        </w:rPr>
        <w:t xml:space="preserve">V. M. Kale, </w:t>
      </w:r>
      <w:proofErr w:type="spellStart"/>
      <w:r w:rsidRPr="0065169A">
        <w:rPr>
          <w:rFonts w:ascii="Times New Roman" w:hAnsi="Times New Roman" w:cs="Times New Roman"/>
          <w:szCs w:val="22"/>
        </w:rPr>
        <w:t>Sedimentological</w:t>
      </w:r>
      <w:proofErr w:type="spellEnd"/>
      <w:r w:rsidRPr="0065169A">
        <w:rPr>
          <w:rFonts w:ascii="Times New Roman" w:hAnsi="Times New Roman" w:cs="Times New Roman"/>
          <w:szCs w:val="22"/>
        </w:rPr>
        <w:t xml:space="preserve"> Studies of </w:t>
      </w:r>
      <w:proofErr w:type="spellStart"/>
      <w:r w:rsidRPr="0065169A">
        <w:rPr>
          <w:rFonts w:ascii="Times New Roman" w:hAnsi="Times New Roman" w:cs="Times New Roman"/>
          <w:szCs w:val="22"/>
        </w:rPr>
        <w:t>Purna</w:t>
      </w:r>
      <w:proofErr w:type="spellEnd"/>
      <w:r w:rsidRPr="0065169A">
        <w:rPr>
          <w:rFonts w:ascii="Times New Roman" w:hAnsi="Times New Roman" w:cs="Times New Roman"/>
          <w:szCs w:val="22"/>
        </w:rPr>
        <w:t xml:space="preserve"> Basin with Special Reference to Environment of Deposition. Unpublished Ph. D. Thesis, SGB Amravati University, </w:t>
      </w:r>
      <w:proofErr w:type="gramStart"/>
      <w:r w:rsidRPr="0065169A">
        <w:rPr>
          <w:rFonts w:ascii="Times New Roman" w:hAnsi="Times New Roman" w:cs="Times New Roman"/>
          <w:szCs w:val="22"/>
        </w:rPr>
        <w:t>Amravati.,</w:t>
      </w:r>
      <w:proofErr w:type="gramEnd"/>
      <w:r w:rsidRPr="0065169A">
        <w:rPr>
          <w:rFonts w:ascii="Times New Roman" w:hAnsi="Times New Roman" w:cs="Times New Roman"/>
          <w:szCs w:val="22"/>
        </w:rPr>
        <w:t xml:space="preserve"> (2009) p.256 </w:t>
      </w:r>
    </w:p>
    <w:p w:rsidR="0040144C" w:rsidRPr="0065169A" w:rsidRDefault="0040144C" w:rsidP="00750E33">
      <w:pPr>
        <w:spacing w:after="0" w:line="360" w:lineRule="auto"/>
        <w:ind w:left="360" w:hanging="360"/>
        <w:jc w:val="both"/>
        <w:rPr>
          <w:rFonts w:ascii="Times New Roman" w:hAnsi="Times New Roman" w:cs="Times New Roman"/>
          <w:szCs w:val="22"/>
        </w:rPr>
      </w:pPr>
      <w:r w:rsidRPr="0065169A">
        <w:rPr>
          <w:rFonts w:ascii="Times New Roman" w:hAnsi="Times New Roman" w:cs="Times New Roman"/>
          <w:szCs w:val="22"/>
        </w:rPr>
        <w:t xml:space="preserve">[3] APHA, Standard Method for the Examination of Water and Waste Water, 16th </w:t>
      </w:r>
      <w:proofErr w:type="spellStart"/>
      <w:r w:rsidRPr="0065169A">
        <w:rPr>
          <w:rFonts w:ascii="Times New Roman" w:hAnsi="Times New Roman" w:cs="Times New Roman"/>
          <w:szCs w:val="22"/>
        </w:rPr>
        <w:t>edn</w:t>
      </w:r>
      <w:proofErr w:type="spellEnd"/>
      <w:r w:rsidRPr="0065169A">
        <w:rPr>
          <w:rFonts w:ascii="Times New Roman" w:hAnsi="Times New Roman" w:cs="Times New Roman"/>
          <w:szCs w:val="22"/>
        </w:rPr>
        <w:t xml:space="preserve">. </w:t>
      </w:r>
      <w:proofErr w:type="gramStart"/>
      <w:r w:rsidRPr="0065169A">
        <w:rPr>
          <w:rFonts w:ascii="Times New Roman" w:hAnsi="Times New Roman" w:cs="Times New Roman"/>
          <w:szCs w:val="22"/>
        </w:rPr>
        <w:t>American Public Health Association.</w:t>
      </w:r>
      <w:proofErr w:type="gramEnd"/>
      <w:r w:rsidRPr="0065169A">
        <w:rPr>
          <w:rFonts w:ascii="Times New Roman" w:hAnsi="Times New Roman" w:cs="Times New Roman"/>
          <w:szCs w:val="22"/>
        </w:rPr>
        <w:t xml:space="preserve"> Washington, D.C. 2. 1992</w:t>
      </w:r>
    </w:p>
    <w:p w:rsidR="0040144C" w:rsidRPr="0065169A" w:rsidRDefault="0040144C" w:rsidP="00750E33">
      <w:pPr>
        <w:spacing w:after="0" w:line="360" w:lineRule="auto"/>
        <w:ind w:left="360" w:hanging="360"/>
        <w:jc w:val="both"/>
        <w:rPr>
          <w:rFonts w:ascii="Times New Roman" w:hAnsi="Times New Roman" w:cs="Times New Roman"/>
          <w:szCs w:val="22"/>
        </w:rPr>
      </w:pPr>
      <w:r w:rsidRPr="0065169A">
        <w:rPr>
          <w:rFonts w:ascii="Times New Roman" w:hAnsi="Times New Roman" w:cs="Times New Roman"/>
          <w:szCs w:val="22"/>
        </w:rPr>
        <w:t xml:space="preserve">[4] J. D. Hem, Study and interpretation of chemical characteristics of natural water, 1991, 3 rd </w:t>
      </w:r>
      <w:proofErr w:type="spellStart"/>
      <w:r w:rsidRPr="0065169A">
        <w:rPr>
          <w:rFonts w:ascii="Times New Roman" w:hAnsi="Times New Roman" w:cs="Times New Roman"/>
          <w:szCs w:val="22"/>
        </w:rPr>
        <w:t>edn</w:t>
      </w:r>
      <w:proofErr w:type="spellEnd"/>
      <w:r w:rsidRPr="0065169A">
        <w:rPr>
          <w:rFonts w:ascii="Times New Roman" w:hAnsi="Times New Roman" w:cs="Times New Roman"/>
          <w:szCs w:val="22"/>
        </w:rPr>
        <w:t>. USGS Water Supply Paper 2254, 264 p</w:t>
      </w:r>
    </w:p>
    <w:p w:rsidR="0040144C" w:rsidRPr="0065169A" w:rsidRDefault="0040144C" w:rsidP="00750E33">
      <w:pPr>
        <w:autoSpaceDE w:val="0"/>
        <w:autoSpaceDN w:val="0"/>
        <w:adjustRightInd w:val="0"/>
        <w:spacing w:after="0" w:line="360" w:lineRule="auto"/>
        <w:ind w:left="360" w:hanging="360"/>
        <w:jc w:val="both"/>
        <w:rPr>
          <w:rFonts w:ascii="Times New Roman" w:hAnsi="Times New Roman" w:cs="Times New Roman"/>
          <w:szCs w:val="22"/>
        </w:rPr>
      </w:pPr>
      <w:r w:rsidRPr="0065169A">
        <w:rPr>
          <w:rFonts w:ascii="Times New Roman" w:hAnsi="Times New Roman" w:cs="Times New Roman"/>
          <w:szCs w:val="22"/>
        </w:rPr>
        <w:t xml:space="preserve">[5] L. D. </w:t>
      </w:r>
      <w:proofErr w:type="spellStart"/>
      <w:r w:rsidRPr="0065169A">
        <w:rPr>
          <w:rFonts w:ascii="Times New Roman" w:hAnsi="Times New Roman" w:cs="Times New Roman"/>
          <w:szCs w:val="22"/>
        </w:rPr>
        <w:t>Doneen</w:t>
      </w:r>
      <w:proofErr w:type="spellEnd"/>
      <w:r w:rsidRPr="0065169A">
        <w:rPr>
          <w:rFonts w:ascii="Times New Roman" w:hAnsi="Times New Roman" w:cs="Times New Roman"/>
          <w:szCs w:val="22"/>
        </w:rPr>
        <w:t xml:space="preserve">, </w:t>
      </w:r>
      <w:r w:rsidR="0065169A" w:rsidRPr="0065169A">
        <w:rPr>
          <w:rFonts w:ascii="Times New Roman" w:hAnsi="Times New Roman" w:cs="Times New Roman"/>
          <w:szCs w:val="22"/>
        </w:rPr>
        <w:t>“</w:t>
      </w:r>
      <w:r w:rsidRPr="0065169A">
        <w:rPr>
          <w:rFonts w:ascii="Times New Roman" w:hAnsi="Times New Roman" w:cs="Times New Roman"/>
          <w:szCs w:val="22"/>
        </w:rPr>
        <w:t>The influence of crop and soil on percolating water</w:t>
      </w:r>
      <w:r w:rsidR="0065169A" w:rsidRPr="0065169A">
        <w:rPr>
          <w:rFonts w:ascii="Times New Roman" w:hAnsi="Times New Roman" w:cs="Times New Roman"/>
          <w:szCs w:val="22"/>
        </w:rPr>
        <w:t>,”</w:t>
      </w:r>
      <w:r w:rsidRPr="0065169A">
        <w:rPr>
          <w:rFonts w:ascii="Times New Roman" w:hAnsi="Times New Roman" w:cs="Times New Roman"/>
          <w:szCs w:val="22"/>
        </w:rPr>
        <w:t xml:space="preserve"> Proc. 1961, Biennial Conference on “Groundwater Recharge” (1962), pp. 156-163. </w:t>
      </w:r>
    </w:p>
    <w:p w:rsidR="0040144C" w:rsidRPr="0065169A" w:rsidRDefault="0040144C" w:rsidP="00750E33">
      <w:pPr>
        <w:spacing w:after="0" w:line="360" w:lineRule="auto"/>
        <w:ind w:left="360" w:hanging="360"/>
        <w:jc w:val="both"/>
        <w:rPr>
          <w:rFonts w:ascii="Times New Roman" w:hAnsi="Times New Roman" w:cs="Times New Roman"/>
          <w:szCs w:val="22"/>
        </w:rPr>
      </w:pPr>
      <w:r w:rsidRPr="0065169A">
        <w:rPr>
          <w:rFonts w:ascii="Times New Roman" w:hAnsi="Times New Roman" w:cs="Times New Roman"/>
          <w:szCs w:val="22"/>
        </w:rPr>
        <w:t xml:space="preserve"> [6] W. P. Kelley, Alkali Soils, Their Information, Properties and Reclamation. </w:t>
      </w:r>
      <w:proofErr w:type="gramStart"/>
      <w:r w:rsidRPr="0065169A">
        <w:rPr>
          <w:rFonts w:ascii="Times New Roman" w:hAnsi="Times New Roman" w:cs="Times New Roman"/>
          <w:szCs w:val="22"/>
        </w:rPr>
        <w:t>Reinhold Publishing Corporation., New York, 1951, 176 p.</w:t>
      </w:r>
      <w:proofErr w:type="gramEnd"/>
    </w:p>
    <w:p w:rsidR="0040144C" w:rsidRPr="0065169A" w:rsidRDefault="0040144C" w:rsidP="00750E33">
      <w:pPr>
        <w:autoSpaceDE w:val="0"/>
        <w:autoSpaceDN w:val="0"/>
        <w:adjustRightInd w:val="0"/>
        <w:spacing w:after="0" w:line="360" w:lineRule="auto"/>
        <w:ind w:left="360" w:hanging="360"/>
        <w:jc w:val="both"/>
        <w:rPr>
          <w:rFonts w:ascii="Times New Roman" w:hAnsi="Times New Roman" w:cs="Times New Roman"/>
          <w:szCs w:val="22"/>
          <w:u w:val="single"/>
        </w:rPr>
      </w:pPr>
      <w:r w:rsidRPr="0065169A">
        <w:rPr>
          <w:rFonts w:ascii="Times New Roman" w:hAnsi="Times New Roman" w:cs="Times New Roman"/>
          <w:szCs w:val="22"/>
        </w:rPr>
        <w:t xml:space="preserve"> </w:t>
      </w:r>
      <w:proofErr w:type="gramStart"/>
      <w:r w:rsidRPr="0065169A">
        <w:rPr>
          <w:rFonts w:ascii="Times New Roman" w:hAnsi="Times New Roman" w:cs="Times New Roman"/>
          <w:szCs w:val="22"/>
        </w:rPr>
        <w:t xml:space="preserve">[7] N. </w:t>
      </w:r>
      <w:proofErr w:type="spellStart"/>
      <w:r w:rsidRPr="0065169A">
        <w:rPr>
          <w:rFonts w:ascii="Times New Roman" w:hAnsi="Times New Roman" w:cs="Times New Roman"/>
          <w:szCs w:val="22"/>
        </w:rPr>
        <w:t>Subba</w:t>
      </w:r>
      <w:proofErr w:type="spellEnd"/>
      <w:r w:rsidRPr="0065169A">
        <w:rPr>
          <w:rFonts w:ascii="Times New Roman" w:hAnsi="Times New Roman" w:cs="Times New Roman"/>
          <w:szCs w:val="22"/>
        </w:rPr>
        <w:t xml:space="preserve"> </w:t>
      </w:r>
      <w:proofErr w:type="spellStart"/>
      <w:r w:rsidRPr="0065169A">
        <w:rPr>
          <w:rFonts w:ascii="Times New Roman" w:hAnsi="Times New Roman" w:cs="Times New Roman"/>
          <w:szCs w:val="22"/>
        </w:rPr>
        <w:t>Rao</w:t>
      </w:r>
      <w:proofErr w:type="spellEnd"/>
      <w:r w:rsidRPr="0065169A">
        <w:rPr>
          <w:rFonts w:ascii="Times New Roman" w:hAnsi="Times New Roman" w:cs="Times New Roman"/>
          <w:szCs w:val="22"/>
        </w:rPr>
        <w:t xml:space="preserve">, </w:t>
      </w:r>
      <w:r w:rsidR="0065169A" w:rsidRPr="0065169A">
        <w:rPr>
          <w:rFonts w:ascii="Times New Roman" w:hAnsi="Times New Roman" w:cs="Times New Roman"/>
          <w:szCs w:val="22"/>
        </w:rPr>
        <w:t>“</w:t>
      </w:r>
      <w:r w:rsidRPr="0065169A">
        <w:rPr>
          <w:rFonts w:ascii="Times New Roman" w:hAnsi="Times New Roman" w:cs="Times New Roman"/>
          <w:szCs w:val="22"/>
        </w:rPr>
        <w:t>Seasonal variation of groundwater quality in a part of Guntur district, Andhra Pradesh, India</w:t>
      </w:r>
      <w:r w:rsidR="0065169A" w:rsidRPr="0065169A">
        <w:rPr>
          <w:rFonts w:ascii="Times New Roman" w:hAnsi="Times New Roman" w:cs="Times New Roman"/>
          <w:szCs w:val="22"/>
        </w:rPr>
        <w:t>,”</w:t>
      </w:r>
      <w:r w:rsidRPr="0065169A">
        <w:rPr>
          <w:rFonts w:ascii="Times New Roman" w:hAnsi="Times New Roman" w:cs="Times New Roman"/>
          <w:szCs w:val="22"/>
        </w:rPr>
        <w:t xml:space="preserve"> </w:t>
      </w:r>
      <w:proofErr w:type="spellStart"/>
      <w:r w:rsidRPr="0065169A">
        <w:rPr>
          <w:rFonts w:ascii="Times New Roman" w:hAnsi="Times New Roman" w:cs="Times New Roman"/>
          <w:szCs w:val="22"/>
        </w:rPr>
        <w:t>Env</w:t>
      </w:r>
      <w:proofErr w:type="spellEnd"/>
      <w:r w:rsidRPr="0065169A">
        <w:rPr>
          <w:rFonts w:ascii="Times New Roman" w:hAnsi="Times New Roman" w:cs="Times New Roman"/>
          <w:szCs w:val="22"/>
        </w:rPr>
        <w:t>.</w:t>
      </w:r>
      <w:proofErr w:type="gramEnd"/>
      <w:r w:rsidRPr="0065169A">
        <w:rPr>
          <w:rFonts w:ascii="Times New Roman" w:hAnsi="Times New Roman" w:cs="Times New Roman"/>
          <w:szCs w:val="22"/>
        </w:rPr>
        <w:t xml:space="preserve"> </w:t>
      </w:r>
      <w:proofErr w:type="gramStart"/>
      <w:r w:rsidRPr="0065169A">
        <w:rPr>
          <w:rFonts w:ascii="Times New Roman" w:hAnsi="Times New Roman" w:cs="Times New Roman"/>
          <w:szCs w:val="22"/>
        </w:rPr>
        <w:t>Geol., vol. 49, pp. 413–429, 2006.</w:t>
      </w:r>
      <w:proofErr w:type="gramEnd"/>
    </w:p>
    <w:p w:rsidR="0040144C" w:rsidRPr="0065169A" w:rsidRDefault="0040144C" w:rsidP="00750E33">
      <w:pPr>
        <w:autoSpaceDE w:val="0"/>
        <w:autoSpaceDN w:val="0"/>
        <w:adjustRightInd w:val="0"/>
        <w:spacing w:after="0" w:line="360" w:lineRule="auto"/>
        <w:ind w:left="360" w:hanging="360"/>
        <w:jc w:val="both"/>
        <w:rPr>
          <w:rFonts w:ascii="Times New Roman" w:hAnsi="Times New Roman" w:cs="Times New Roman"/>
          <w:szCs w:val="22"/>
        </w:rPr>
      </w:pPr>
      <w:r w:rsidRPr="0065169A">
        <w:rPr>
          <w:rFonts w:ascii="Times New Roman" w:hAnsi="Times New Roman" w:cs="Times New Roman"/>
          <w:szCs w:val="22"/>
        </w:rPr>
        <w:t xml:space="preserve"> [</w:t>
      </w:r>
      <w:r w:rsidR="004B4A0F" w:rsidRPr="0065169A">
        <w:rPr>
          <w:rFonts w:ascii="Times New Roman" w:hAnsi="Times New Roman" w:cs="Times New Roman"/>
          <w:szCs w:val="22"/>
        </w:rPr>
        <w:t>8</w:t>
      </w:r>
      <w:r w:rsidRPr="0065169A">
        <w:rPr>
          <w:rFonts w:ascii="Times New Roman" w:hAnsi="Times New Roman" w:cs="Times New Roman"/>
          <w:szCs w:val="22"/>
        </w:rPr>
        <w:t xml:space="preserve">] N. J. </w:t>
      </w:r>
      <w:proofErr w:type="spellStart"/>
      <w:r w:rsidRPr="0065169A">
        <w:rPr>
          <w:rFonts w:ascii="Times New Roman" w:hAnsi="Times New Roman" w:cs="Times New Roman"/>
          <w:szCs w:val="22"/>
        </w:rPr>
        <w:t>Raju</w:t>
      </w:r>
      <w:proofErr w:type="spellEnd"/>
      <w:proofErr w:type="gramStart"/>
      <w:r w:rsidRPr="0065169A">
        <w:rPr>
          <w:rFonts w:ascii="Times New Roman" w:hAnsi="Times New Roman" w:cs="Times New Roman"/>
          <w:szCs w:val="22"/>
        </w:rPr>
        <w:t>, ,</w:t>
      </w:r>
      <w:proofErr w:type="gramEnd"/>
      <w:r w:rsidRPr="0065169A">
        <w:rPr>
          <w:rFonts w:ascii="Times New Roman" w:hAnsi="Times New Roman" w:cs="Times New Roman"/>
          <w:szCs w:val="22"/>
        </w:rPr>
        <w:t xml:space="preserve"> P. Ram and S. </w:t>
      </w:r>
      <w:proofErr w:type="spellStart"/>
      <w:r w:rsidRPr="0065169A">
        <w:rPr>
          <w:rFonts w:ascii="Times New Roman" w:hAnsi="Times New Roman" w:cs="Times New Roman"/>
          <w:szCs w:val="22"/>
        </w:rPr>
        <w:t>Dey</w:t>
      </w:r>
      <w:proofErr w:type="spellEnd"/>
      <w:r w:rsidRPr="0065169A">
        <w:rPr>
          <w:rFonts w:ascii="Times New Roman" w:hAnsi="Times New Roman" w:cs="Times New Roman"/>
          <w:szCs w:val="22"/>
        </w:rPr>
        <w:t xml:space="preserve">, </w:t>
      </w:r>
      <w:r w:rsidR="0065169A" w:rsidRPr="0065169A">
        <w:rPr>
          <w:rFonts w:ascii="Times New Roman" w:hAnsi="Times New Roman" w:cs="Times New Roman"/>
          <w:szCs w:val="22"/>
        </w:rPr>
        <w:t>“</w:t>
      </w:r>
      <w:proofErr w:type="spellStart"/>
      <w:r w:rsidRPr="0065169A">
        <w:rPr>
          <w:rFonts w:ascii="Times New Roman" w:hAnsi="Times New Roman" w:cs="Times New Roman"/>
          <w:szCs w:val="22"/>
        </w:rPr>
        <w:t>Groundwter</w:t>
      </w:r>
      <w:proofErr w:type="spellEnd"/>
      <w:r w:rsidRPr="0065169A">
        <w:rPr>
          <w:rFonts w:ascii="Times New Roman" w:hAnsi="Times New Roman" w:cs="Times New Roman"/>
          <w:szCs w:val="22"/>
        </w:rPr>
        <w:t xml:space="preserve"> quality in the Lower </w:t>
      </w:r>
      <w:proofErr w:type="spellStart"/>
      <w:r w:rsidRPr="0065169A">
        <w:rPr>
          <w:rFonts w:ascii="Times New Roman" w:hAnsi="Times New Roman" w:cs="Times New Roman"/>
          <w:szCs w:val="22"/>
        </w:rPr>
        <w:t>Varuna</w:t>
      </w:r>
      <w:proofErr w:type="spellEnd"/>
      <w:r w:rsidRPr="0065169A">
        <w:rPr>
          <w:rFonts w:ascii="Times New Roman" w:hAnsi="Times New Roman" w:cs="Times New Roman"/>
          <w:szCs w:val="22"/>
        </w:rPr>
        <w:t xml:space="preserve"> River basin, Varanasi district, Uttar Pra</w:t>
      </w:r>
      <w:r w:rsidR="0065169A" w:rsidRPr="0065169A">
        <w:rPr>
          <w:rFonts w:ascii="Times New Roman" w:hAnsi="Times New Roman" w:cs="Times New Roman"/>
          <w:szCs w:val="22"/>
        </w:rPr>
        <w:t>desh,”</w:t>
      </w:r>
      <w:r w:rsidRPr="0065169A">
        <w:rPr>
          <w:rFonts w:ascii="Times New Roman" w:hAnsi="Times New Roman" w:cs="Times New Roman"/>
          <w:szCs w:val="22"/>
        </w:rPr>
        <w:t xml:space="preserve"> Jour. Geol. Soc. India, vol. 73, pp. 178-192, 2009.</w:t>
      </w:r>
    </w:p>
    <w:p w:rsidR="0040144C" w:rsidRPr="0065169A" w:rsidRDefault="004B4A0F" w:rsidP="00CD2DF9">
      <w:pPr>
        <w:ind w:left="360" w:hanging="270"/>
        <w:jc w:val="both"/>
        <w:rPr>
          <w:rFonts w:ascii="Times New Roman" w:hAnsi="Times New Roman" w:cs="Times New Roman"/>
          <w:szCs w:val="22"/>
        </w:rPr>
      </w:pPr>
      <w:r w:rsidRPr="0065169A">
        <w:rPr>
          <w:rFonts w:ascii="Times New Roman" w:hAnsi="Times New Roman" w:cs="Times New Roman"/>
          <w:szCs w:val="22"/>
        </w:rPr>
        <w:t xml:space="preserve">[9] L.V. Wilcox, Classification and use of irrigation waters. U. S. Department of Agriculture Circular 969, Washington </w:t>
      </w:r>
      <w:proofErr w:type="gramStart"/>
      <w:r w:rsidRPr="0065169A">
        <w:rPr>
          <w:rFonts w:ascii="Times New Roman" w:hAnsi="Times New Roman" w:cs="Times New Roman"/>
          <w:szCs w:val="22"/>
        </w:rPr>
        <w:t>DC.,</w:t>
      </w:r>
      <w:proofErr w:type="gramEnd"/>
      <w:r w:rsidRPr="0065169A">
        <w:rPr>
          <w:rFonts w:ascii="Times New Roman" w:hAnsi="Times New Roman" w:cs="Times New Roman"/>
          <w:szCs w:val="22"/>
        </w:rPr>
        <w:t xml:space="preserve"> 1955,19 P.   </w:t>
      </w:r>
    </w:p>
    <w:p w:rsidR="005D696B" w:rsidRDefault="005D696B" w:rsidP="00750E33">
      <w:pPr>
        <w:jc w:val="both"/>
        <w:rPr>
          <w:rFonts w:ascii="Times New Roman" w:hAnsi="Times New Roman" w:cs="Times New Roman"/>
          <w:szCs w:val="22"/>
        </w:rPr>
      </w:pPr>
    </w:p>
    <w:tbl>
      <w:tblPr>
        <w:tblStyle w:val="TableGrid"/>
        <w:tblW w:w="0" w:type="auto"/>
        <w:tblInd w:w="558" w:type="dxa"/>
        <w:tblLook w:val="04A0"/>
      </w:tblPr>
      <w:tblGrid>
        <w:gridCol w:w="1836"/>
        <w:gridCol w:w="1314"/>
        <w:gridCol w:w="1620"/>
        <w:gridCol w:w="1800"/>
      </w:tblGrid>
      <w:tr w:rsidR="004847B7" w:rsidRPr="004B4A0F" w:rsidTr="00DB0900">
        <w:tc>
          <w:tcPr>
            <w:tcW w:w="1836" w:type="dxa"/>
            <w:vMerge w:val="restart"/>
          </w:tcPr>
          <w:p w:rsidR="004847B7" w:rsidRPr="004B4A0F" w:rsidRDefault="004847B7" w:rsidP="00DB0900">
            <w:pPr>
              <w:tabs>
                <w:tab w:val="center" w:pos="810"/>
              </w:tabs>
              <w:rPr>
                <w:b/>
                <w:bCs/>
              </w:rPr>
            </w:pPr>
            <w:r w:rsidRPr="004B4A0F">
              <w:rPr>
                <w:rFonts w:ascii="Times New Roman" w:hAnsi="Times New Roman" w:cs="Times New Roman"/>
                <w:b/>
                <w:bCs/>
              </w:rPr>
              <w:tab/>
              <w:t>Water class</w:t>
            </w:r>
          </w:p>
        </w:tc>
        <w:tc>
          <w:tcPr>
            <w:tcW w:w="1314" w:type="dxa"/>
            <w:vMerge w:val="restart"/>
          </w:tcPr>
          <w:p w:rsidR="004847B7" w:rsidRPr="004B4A0F" w:rsidRDefault="004847B7" w:rsidP="00DB0900">
            <w:pPr>
              <w:jc w:val="center"/>
              <w:rPr>
                <w:b/>
                <w:bCs/>
              </w:rPr>
            </w:pPr>
            <w:r w:rsidRPr="004B4A0F">
              <w:rPr>
                <w:rFonts w:ascii="Times New Roman" w:hAnsi="Times New Roman" w:cs="Times New Roman"/>
                <w:b/>
                <w:bCs/>
              </w:rPr>
              <w:t>Na%</w:t>
            </w:r>
          </w:p>
        </w:tc>
        <w:tc>
          <w:tcPr>
            <w:tcW w:w="3420" w:type="dxa"/>
            <w:gridSpan w:val="2"/>
          </w:tcPr>
          <w:p w:rsidR="004847B7" w:rsidRPr="004B4A0F" w:rsidRDefault="004847B7" w:rsidP="00DB0900">
            <w:pPr>
              <w:jc w:val="center"/>
              <w:rPr>
                <w:b/>
                <w:bCs/>
              </w:rPr>
            </w:pPr>
            <w:r w:rsidRPr="004B4A0F">
              <w:rPr>
                <w:rFonts w:ascii="Times New Roman" w:hAnsi="Times New Roman" w:cs="Times New Roman"/>
                <w:b/>
                <w:bCs/>
              </w:rPr>
              <w:t>Number of samples</w:t>
            </w:r>
          </w:p>
        </w:tc>
      </w:tr>
      <w:tr w:rsidR="004847B7" w:rsidRPr="004B4A0F" w:rsidTr="00DB0900">
        <w:tc>
          <w:tcPr>
            <w:tcW w:w="1836" w:type="dxa"/>
            <w:vMerge/>
          </w:tcPr>
          <w:p w:rsidR="004847B7" w:rsidRPr="004B4A0F" w:rsidRDefault="004847B7" w:rsidP="00DB0900">
            <w:pPr>
              <w:rPr>
                <w:b/>
                <w:bCs/>
              </w:rPr>
            </w:pPr>
          </w:p>
        </w:tc>
        <w:tc>
          <w:tcPr>
            <w:tcW w:w="1314" w:type="dxa"/>
            <w:vMerge/>
          </w:tcPr>
          <w:p w:rsidR="004847B7" w:rsidRPr="004B4A0F" w:rsidRDefault="004847B7" w:rsidP="00DB0900">
            <w:pPr>
              <w:rPr>
                <w:b/>
                <w:bCs/>
              </w:rPr>
            </w:pPr>
          </w:p>
        </w:tc>
        <w:tc>
          <w:tcPr>
            <w:tcW w:w="1620" w:type="dxa"/>
          </w:tcPr>
          <w:p w:rsidR="004847B7" w:rsidRPr="004B4A0F" w:rsidRDefault="004847B7" w:rsidP="00DB0900">
            <w:pPr>
              <w:jc w:val="both"/>
              <w:rPr>
                <w:rFonts w:ascii="Times New Roman" w:hAnsi="Times New Roman" w:cs="Times New Roman"/>
                <w:b/>
                <w:bCs/>
              </w:rPr>
            </w:pPr>
            <w:r w:rsidRPr="004B4A0F">
              <w:rPr>
                <w:rFonts w:ascii="Times New Roman" w:hAnsi="Times New Roman" w:cs="Times New Roman"/>
                <w:b/>
                <w:bCs/>
              </w:rPr>
              <w:t>Pre-monsoon</w:t>
            </w:r>
          </w:p>
        </w:tc>
        <w:tc>
          <w:tcPr>
            <w:tcW w:w="1800" w:type="dxa"/>
          </w:tcPr>
          <w:p w:rsidR="004847B7" w:rsidRPr="004B4A0F" w:rsidRDefault="004847B7" w:rsidP="00DB0900">
            <w:pPr>
              <w:jc w:val="both"/>
              <w:rPr>
                <w:rFonts w:ascii="Times New Roman" w:hAnsi="Times New Roman" w:cs="Times New Roman"/>
                <w:b/>
                <w:bCs/>
              </w:rPr>
            </w:pPr>
            <w:r w:rsidRPr="004B4A0F">
              <w:rPr>
                <w:rFonts w:ascii="Times New Roman" w:hAnsi="Times New Roman" w:cs="Times New Roman"/>
                <w:b/>
                <w:bCs/>
              </w:rPr>
              <w:t>Post- monsoon</w:t>
            </w:r>
          </w:p>
        </w:tc>
      </w:tr>
      <w:tr w:rsidR="004847B7" w:rsidRPr="004B4A0F" w:rsidTr="00DB0900">
        <w:tc>
          <w:tcPr>
            <w:tcW w:w="1836" w:type="dxa"/>
          </w:tcPr>
          <w:p w:rsidR="004847B7" w:rsidRPr="004B4A0F" w:rsidRDefault="004847B7" w:rsidP="00DB0900">
            <w:pPr>
              <w:jc w:val="both"/>
              <w:rPr>
                <w:rFonts w:ascii="Times New Roman" w:hAnsi="Times New Roman" w:cs="Times New Roman"/>
              </w:rPr>
            </w:pPr>
            <w:r w:rsidRPr="004B4A0F">
              <w:rPr>
                <w:rFonts w:ascii="Times New Roman" w:hAnsi="Times New Roman" w:cs="Times New Roman"/>
              </w:rPr>
              <w:t>Excellent</w:t>
            </w:r>
          </w:p>
        </w:tc>
        <w:tc>
          <w:tcPr>
            <w:tcW w:w="1314" w:type="dxa"/>
          </w:tcPr>
          <w:p w:rsidR="004847B7" w:rsidRPr="004B4A0F" w:rsidRDefault="004847B7" w:rsidP="00DB0900">
            <w:pPr>
              <w:jc w:val="both"/>
              <w:rPr>
                <w:rFonts w:ascii="Times New Roman" w:hAnsi="Times New Roman" w:cs="Times New Roman"/>
              </w:rPr>
            </w:pPr>
            <w:r w:rsidRPr="004B4A0F">
              <w:rPr>
                <w:rFonts w:ascii="Times New Roman" w:hAnsi="Times New Roman" w:cs="Times New Roman"/>
              </w:rPr>
              <w:t>&lt;20</w:t>
            </w:r>
          </w:p>
        </w:tc>
        <w:tc>
          <w:tcPr>
            <w:tcW w:w="1620" w:type="dxa"/>
          </w:tcPr>
          <w:p w:rsidR="004847B7" w:rsidRPr="004B4A0F" w:rsidRDefault="004847B7" w:rsidP="00DB0900">
            <w:pPr>
              <w:jc w:val="center"/>
              <w:rPr>
                <w:rFonts w:ascii="Times New Roman" w:hAnsi="Times New Roman" w:cs="Times New Roman"/>
              </w:rPr>
            </w:pPr>
            <w:r w:rsidRPr="004B4A0F">
              <w:rPr>
                <w:rFonts w:ascii="Times New Roman" w:hAnsi="Times New Roman" w:cs="Times New Roman"/>
              </w:rPr>
              <w:t>9</w:t>
            </w:r>
          </w:p>
        </w:tc>
        <w:tc>
          <w:tcPr>
            <w:tcW w:w="1800" w:type="dxa"/>
          </w:tcPr>
          <w:p w:rsidR="004847B7" w:rsidRPr="004B4A0F" w:rsidRDefault="004847B7" w:rsidP="00DB0900">
            <w:pPr>
              <w:jc w:val="center"/>
              <w:rPr>
                <w:rFonts w:ascii="Times New Roman" w:hAnsi="Times New Roman" w:cs="Times New Roman"/>
              </w:rPr>
            </w:pPr>
            <w:r w:rsidRPr="004B4A0F">
              <w:rPr>
                <w:rFonts w:ascii="Times New Roman" w:hAnsi="Times New Roman" w:cs="Times New Roman"/>
              </w:rPr>
              <w:t>16</w:t>
            </w:r>
          </w:p>
        </w:tc>
      </w:tr>
      <w:tr w:rsidR="004847B7" w:rsidRPr="004B4A0F" w:rsidTr="00DB0900">
        <w:tc>
          <w:tcPr>
            <w:tcW w:w="1836" w:type="dxa"/>
          </w:tcPr>
          <w:p w:rsidR="004847B7" w:rsidRPr="004B4A0F" w:rsidRDefault="004847B7" w:rsidP="00DB0900">
            <w:pPr>
              <w:jc w:val="both"/>
              <w:rPr>
                <w:rFonts w:ascii="Times New Roman" w:hAnsi="Times New Roman" w:cs="Times New Roman"/>
              </w:rPr>
            </w:pPr>
            <w:r w:rsidRPr="004B4A0F">
              <w:rPr>
                <w:rFonts w:ascii="Times New Roman" w:hAnsi="Times New Roman" w:cs="Times New Roman"/>
              </w:rPr>
              <w:t>Good</w:t>
            </w:r>
          </w:p>
        </w:tc>
        <w:tc>
          <w:tcPr>
            <w:tcW w:w="1314" w:type="dxa"/>
          </w:tcPr>
          <w:p w:rsidR="004847B7" w:rsidRPr="004B4A0F" w:rsidRDefault="004847B7" w:rsidP="00DB0900">
            <w:pPr>
              <w:jc w:val="both"/>
              <w:rPr>
                <w:rFonts w:ascii="Times New Roman" w:hAnsi="Times New Roman" w:cs="Times New Roman"/>
              </w:rPr>
            </w:pPr>
            <w:r w:rsidRPr="004B4A0F">
              <w:rPr>
                <w:rFonts w:ascii="Times New Roman" w:hAnsi="Times New Roman" w:cs="Times New Roman"/>
              </w:rPr>
              <w:t>20-40</w:t>
            </w:r>
          </w:p>
        </w:tc>
        <w:tc>
          <w:tcPr>
            <w:tcW w:w="1620" w:type="dxa"/>
          </w:tcPr>
          <w:p w:rsidR="004847B7" w:rsidRPr="004B4A0F" w:rsidRDefault="004847B7" w:rsidP="00DB0900">
            <w:pPr>
              <w:jc w:val="center"/>
              <w:rPr>
                <w:rFonts w:ascii="Times New Roman" w:hAnsi="Times New Roman" w:cs="Times New Roman"/>
              </w:rPr>
            </w:pPr>
            <w:r w:rsidRPr="004B4A0F">
              <w:rPr>
                <w:rFonts w:ascii="Times New Roman" w:hAnsi="Times New Roman" w:cs="Times New Roman"/>
              </w:rPr>
              <w:t>30</w:t>
            </w:r>
          </w:p>
        </w:tc>
        <w:tc>
          <w:tcPr>
            <w:tcW w:w="1800" w:type="dxa"/>
          </w:tcPr>
          <w:p w:rsidR="004847B7" w:rsidRPr="004B4A0F" w:rsidRDefault="004847B7" w:rsidP="00DB0900">
            <w:pPr>
              <w:jc w:val="center"/>
              <w:rPr>
                <w:rFonts w:ascii="Times New Roman" w:hAnsi="Times New Roman" w:cs="Times New Roman"/>
              </w:rPr>
            </w:pPr>
            <w:r w:rsidRPr="004B4A0F">
              <w:rPr>
                <w:rFonts w:ascii="Times New Roman" w:hAnsi="Times New Roman" w:cs="Times New Roman"/>
              </w:rPr>
              <w:t>25</w:t>
            </w:r>
          </w:p>
        </w:tc>
      </w:tr>
      <w:tr w:rsidR="004847B7" w:rsidRPr="004B4A0F" w:rsidTr="00DB0900">
        <w:tc>
          <w:tcPr>
            <w:tcW w:w="1836" w:type="dxa"/>
          </w:tcPr>
          <w:p w:rsidR="004847B7" w:rsidRPr="004B4A0F" w:rsidRDefault="004847B7" w:rsidP="00DB0900">
            <w:pPr>
              <w:jc w:val="both"/>
              <w:rPr>
                <w:rFonts w:ascii="Times New Roman" w:hAnsi="Times New Roman" w:cs="Times New Roman"/>
              </w:rPr>
            </w:pPr>
            <w:r w:rsidRPr="004B4A0F">
              <w:rPr>
                <w:rFonts w:ascii="Times New Roman" w:hAnsi="Times New Roman" w:cs="Times New Roman"/>
              </w:rPr>
              <w:t>Permissible</w:t>
            </w:r>
          </w:p>
        </w:tc>
        <w:tc>
          <w:tcPr>
            <w:tcW w:w="1314" w:type="dxa"/>
          </w:tcPr>
          <w:p w:rsidR="004847B7" w:rsidRPr="004B4A0F" w:rsidRDefault="004847B7" w:rsidP="00DB0900">
            <w:pPr>
              <w:jc w:val="both"/>
              <w:rPr>
                <w:rFonts w:ascii="Times New Roman" w:hAnsi="Times New Roman" w:cs="Times New Roman"/>
              </w:rPr>
            </w:pPr>
            <w:r w:rsidRPr="004B4A0F">
              <w:rPr>
                <w:rFonts w:ascii="Times New Roman" w:hAnsi="Times New Roman" w:cs="Times New Roman"/>
              </w:rPr>
              <w:t>40-60</w:t>
            </w:r>
          </w:p>
        </w:tc>
        <w:tc>
          <w:tcPr>
            <w:tcW w:w="1620" w:type="dxa"/>
          </w:tcPr>
          <w:p w:rsidR="004847B7" w:rsidRPr="004B4A0F" w:rsidRDefault="004847B7" w:rsidP="00DB0900">
            <w:pPr>
              <w:jc w:val="center"/>
              <w:rPr>
                <w:rFonts w:ascii="Times New Roman" w:hAnsi="Times New Roman" w:cs="Times New Roman"/>
              </w:rPr>
            </w:pPr>
            <w:r w:rsidRPr="004B4A0F">
              <w:rPr>
                <w:rFonts w:ascii="Times New Roman" w:hAnsi="Times New Roman" w:cs="Times New Roman"/>
              </w:rPr>
              <w:t>25</w:t>
            </w:r>
          </w:p>
        </w:tc>
        <w:tc>
          <w:tcPr>
            <w:tcW w:w="1800" w:type="dxa"/>
          </w:tcPr>
          <w:p w:rsidR="004847B7" w:rsidRPr="004B4A0F" w:rsidRDefault="004847B7" w:rsidP="00DB0900">
            <w:pPr>
              <w:jc w:val="center"/>
              <w:rPr>
                <w:rFonts w:ascii="Times New Roman" w:hAnsi="Times New Roman" w:cs="Times New Roman"/>
              </w:rPr>
            </w:pPr>
            <w:r w:rsidRPr="004B4A0F">
              <w:rPr>
                <w:rFonts w:ascii="Times New Roman" w:hAnsi="Times New Roman" w:cs="Times New Roman"/>
              </w:rPr>
              <w:t>30</w:t>
            </w:r>
          </w:p>
        </w:tc>
      </w:tr>
      <w:tr w:rsidR="004847B7" w:rsidRPr="004B4A0F" w:rsidTr="00DB0900">
        <w:tc>
          <w:tcPr>
            <w:tcW w:w="1836" w:type="dxa"/>
          </w:tcPr>
          <w:p w:rsidR="004847B7" w:rsidRPr="004B4A0F" w:rsidRDefault="004847B7" w:rsidP="00DB0900">
            <w:pPr>
              <w:jc w:val="both"/>
              <w:rPr>
                <w:rFonts w:ascii="Times New Roman" w:hAnsi="Times New Roman" w:cs="Times New Roman"/>
              </w:rPr>
            </w:pPr>
            <w:r w:rsidRPr="004B4A0F">
              <w:rPr>
                <w:rFonts w:ascii="Times New Roman" w:hAnsi="Times New Roman" w:cs="Times New Roman"/>
              </w:rPr>
              <w:t>Doubtful</w:t>
            </w:r>
          </w:p>
        </w:tc>
        <w:tc>
          <w:tcPr>
            <w:tcW w:w="1314" w:type="dxa"/>
          </w:tcPr>
          <w:p w:rsidR="004847B7" w:rsidRPr="004B4A0F" w:rsidRDefault="004847B7" w:rsidP="00DB0900">
            <w:pPr>
              <w:jc w:val="both"/>
              <w:rPr>
                <w:rFonts w:ascii="Times New Roman" w:hAnsi="Times New Roman" w:cs="Times New Roman"/>
              </w:rPr>
            </w:pPr>
            <w:r w:rsidRPr="004B4A0F">
              <w:rPr>
                <w:rFonts w:ascii="Times New Roman" w:hAnsi="Times New Roman" w:cs="Times New Roman"/>
              </w:rPr>
              <w:t>60-80</w:t>
            </w:r>
          </w:p>
        </w:tc>
        <w:tc>
          <w:tcPr>
            <w:tcW w:w="1620" w:type="dxa"/>
          </w:tcPr>
          <w:p w:rsidR="004847B7" w:rsidRPr="004B4A0F" w:rsidRDefault="004847B7" w:rsidP="00DB0900">
            <w:pPr>
              <w:jc w:val="center"/>
              <w:rPr>
                <w:rFonts w:ascii="Times New Roman" w:hAnsi="Times New Roman" w:cs="Times New Roman"/>
              </w:rPr>
            </w:pPr>
            <w:r w:rsidRPr="004B4A0F">
              <w:rPr>
                <w:rFonts w:ascii="Times New Roman" w:hAnsi="Times New Roman" w:cs="Times New Roman"/>
              </w:rPr>
              <w:t>27</w:t>
            </w:r>
          </w:p>
        </w:tc>
        <w:tc>
          <w:tcPr>
            <w:tcW w:w="1800" w:type="dxa"/>
          </w:tcPr>
          <w:p w:rsidR="004847B7" w:rsidRPr="004B4A0F" w:rsidRDefault="004847B7" w:rsidP="00DB0900">
            <w:pPr>
              <w:jc w:val="center"/>
              <w:rPr>
                <w:rFonts w:ascii="Times New Roman" w:hAnsi="Times New Roman" w:cs="Times New Roman"/>
              </w:rPr>
            </w:pPr>
            <w:r w:rsidRPr="004B4A0F">
              <w:rPr>
                <w:rFonts w:ascii="Times New Roman" w:hAnsi="Times New Roman" w:cs="Times New Roman"/>
              </w:rPr>
              <w:t>18</w:t>
            </w:r>
          </w:p>
        </w:tc>
      </w:tr>
      <w:tr w:rsidR="004847B7" w:rsidRPr="004B4A0F" w:rsidTr="00DB0900">
        <w:tc>
          <w:tcPr>
            <w:tcW w:w="1836" w:type="dxa"/>
          </w:tcPr>
          <w:p w:rsidR="004847B7" w:rsidRPr="004B4A0F" w:rsidRDefault="004847B7" w:rsidP="00DB0900">
            <w:pPr>
              <w:jc w:val="both"/>
              <w:rPr>
                <w:rFonts w:ascii="Times New Roman" w:hAnsi="Times New Roman" w:cs="Times New Roman"/>
              </w:rPr>
            </w:pPr>
            <w:r w:rsidRPr="004B4A0F">
              <w:rPr>
                <w:rFonts w:ascii="Times New Roman" w:hAnsi="Times New Roman" w:cs="Times New Roman"/>
              </w:rPr>
              <w:t>Unsuitable</w:t>
            </w:r>
          </w:p>
        </w:tc>
        <w:tc>
          <w:tcPr>
            <w:tcW w:w="1314" w:type="dxa"/>
          </w:tcPr>
          <w:p w:rsidR="004847B7" w:rsidRPr="004B4A0F" w:rsidRDefault="004847B7" w:rsidP="00DB0900">
            <w:pPr>
              <w:jc w:val="both"/>
              <w:rPr>
                <w:rFonts w:ascii="Times New Roman" w:hAnsi="Times New Roman" w:cs="Times New Roman"/>
              </w:rPr>
            </w:pPr>
            <w:r w:rsidRPr="004B4A0F">
              <w:rPr>
                <w:rFonts w:ascii="Times New Roman" w:hAnsi="Times New Roman" w:cs="Times New Roman"/>
              </w:rPr>
              <w:t>&gt; 80</w:t>
            </w:r>
          </w:p>
        </w:tc>
        <w:tc>
          <w:tcPr>
            <w:tcW w:w="1620" w:type="dxa"/>
          </w:tcPr>
          <w:p w:rsidR="004847B7" w:rsidRPr="004B4A0F" w:rsidRDefault="004847B7" w:rsidP="00DB0900">
            <w:pPr>
              <w:jc w:val="center"/>
              <w:rPr>
                <w:rFonts w:ascii="Times New Roman" w:hAnsi="Times New Roman" w:cs="Times New Roman"/>
              </w:rPr>
            </w:pPr>
            <w:r w:rsidRPr="004B4A0F">
              <w:rPr>
                <w:rFonts w:ascii="Times New Roman" w:hAnsi="Times New Roman" w:cs="Times New Roman"/>
              </w:rPr>
              <w:t>3</w:t>
            </w:r>
          </w:p>
        </w:tc>
        <w:tc>
          <w:tcPr>
            <w:tcW w:w="1800" w:type="dxa"/>
          </w:tcPr>
          <w:p w:rsidR="004847B7" w:rsidRPr="004B4A0F" w:rsidRDefault="004847B7" w:rsidP="00DB0900">
            <w:pPr>
              <w:jc w:val="center"/>
              <w:rPr>
                <w:rFonts w:ascii="Times New Roman" w:hAnsi="Times New Roman" w:cs="Times New Roman"/>
              </w:rPr>
            </w:pPr>
            <w:r w:rsidRPr="004B4A0F">
              <w:rPr>
                <w:rFonts w:ascii="Times New Roman" w:hAnsi="Times New Roman" w:cs="Times New Roman"/>
              </w:rPr>
              <w:t>5</w:t>
            </w:r>
          </w:p>
        </w:tc>
      </w:tr>
      <w:tr w:rsidR="004847B7" w:rsidRPr="004B4A0F" w:rsidTr="00DB0900">
        <w:tc>
          <w:tcPr>
            <w:tcW w:w="3150" w:type="dxa"/>
            <w:gridSpan w:val="2"/>
          </w:tcPr>
          <w:p w:rsidR="004847B7" w:rsidRPr="004B4A0F" w:rsidRDefault="004847B7" w:rsidP="00DB0900">
            <w:pPr>
              <w:jc w:val="center"/>
            </w:pPr>
            <w:r w:rsidRPr="004B4A0F">
              <w:rPr>
                <w:rFonts w:ascii="Times New Roman" w:hAnsi="Times New Roman" w:cs="Times New Roman"/>
              </w:rPr>
              <w:t>Total samples</w:t>
            </w:r>
          </w:p>
        </w:tc>
        <w:tc>
          <w:tcPr>
            <w:tcW w:w="1620" w:type="dxa"/>
          </w:tcPr>
          <w:p w:rsidR="004847B7" w:rsidRPr="004B4A0F" w:rsidRDefault="004847B7" w:rsidP="00DB0900">
            <w:pPr>
              <w:jc w:val="center"/>
              <w:rPr>
                <w:rFonts w:ascii="Times New Roman" w:hAnsi="Times New Roman" w:cs="Times New Roman"/>
                <w:b/>
              </w:rPr>
            </w:pPr>
            <w:r w:rsidRPr="004B4A0F">
              <w:rPr>
                <w:rFonts w:ascii="Times New Roman" w:hAnsi="Times New Roman" w:cs="Times New Roman"/>
                <w:b/>
              </w:rPr>
              <w:t>94</w:t>
            </w:r>
          </w:p>
        </w:tc>
        <w:tc>
          <w:tcPr>
            <w:tcW w:w="1800" w:type="dxa"/>
          </w:tcPr>
          <w:p w:rsidR="004847B7" w:rsidRPr="004B4A0F" w:rsidRDefault="004847B7" w:rsidP="00DB0900">
            <w:pPr>
              <w:jc w:val="center"/>
              <w:rPr>
                <w:rFonts w:ascii="Times New Roman" w:hAnsi="Times New Roman" w:cs="Times New Roman"/>
                <w:b/>
              </w:rPr>
            </w:pPr>
            <w:r w:rsidRPr="004B4A0F">
              <w:rPr>
                <w:rFonts w:ascii="Times New Roman" w:hAnsi="Times New Roman" w:cs="Times New Roman"/>
                <w:b/>
              </w:rPr>
              <w:t>94</w:t>
            </w:r>
          </w:p>
        </w:tc>
      </w:tr>
    </w:tbl>
    <w:p w:rsidR="004847B7" w:rsidRPr="004B4A0F" w:rsidRDefault="004847B7" w:rsidP="004847B7">
      <w:pPr>
        <w:tabs>
          <w:tab w:val="left" w:pos="810"/>
          <w:tab w:val="left" w:pos="990"/>
        </w:tabs>
        <w:spacing w:after="0" w:line="360" w:lineRule="auto"/>
        <w:ind w:left="810" w:right="29" w:hanging="994"/>
        <w:jc w:val="both"/>
        <w:rPr>
          <w:rFonts w:ascii="Times New Roman" w:hAnsi="Times New Roman" w:cs="Arial Unicode MS"/>
          <w:b/>
          <w:sz w:val="20"/>
        </w:rPr>
      </w:pPr>
    </w:p>
    <w:p w:rsidR="004847B7" w:rsidRPr="004B4A0F" w:rsidRDefault="004847B7" w:rsidP="004847B7">
      <w:pPr>
        <w:tabs>
          <w:tab w:val="left" w:pos="810"/>
          <w:tab w:val="left" w:pos="990"/>
        </w:tabs>
        <w:spacing w:after="0" w:line="360" w:lineRule="auto"/>
        <w:ind w:left="810" w:right="29" w:hanging="994"/>
        <w:jc w:val="both"/>
        <w:rPr>
          <w:rFonts w:ascii="Times New Roman" w:hAnsi="Times New Roman" w:cs="Times New Roman"/>
          <w:sz w:val="20"/>
        </w:rPr>
      </w:pPr>
      <w:r w:rsidRPr="004B4A0F">
        <w:rPr>
          <w:rFonts w:ascii="Times New Roman" w:hAnsi="Times New Roman" w:cs="Times New Roman"/>
          <w:b/>
          <w:sz w:val="20"/>
        </w:rPr>
        <w:t xml:space="preserve">Table 1: </w:t>
      </w:r>
      <w:r w:rsidRPr="004B4A0F">
        <w:rPr>
          <w:rFonts w:ascii="Times New Roman" w:hAnsi="Times New Roman" w:cs="Times New Roman"/>
          <w:sz w:val="20"/>
        </w:rPr>
        <w:t xml:space="preserve">Classification of groundwater samples on the basis of Sodium Percent (Na %) </w:t>
      </w:r>
      <w:proofErr w:type="gramStart"/>
      <w:r w:rsidRPr="004B4A0F">
        <w:rPr>
          <w:rFonts w:ascii="Times New Roman" w:hAnsi="Times New Roman" w:cs="Times New Roman"/>
          <w:sz w:val="20"/>
        </w:rPr>
        <w:t>(Wilcox, 1955) during pre- and post-monsoon periods of the years 2006.</w:t>
      </w:r>
      <w:proofErr w:type="gramEnd"/>
    </w:p>
    <w:p w:rsidR="004847B7" w:rsidRPr="004B4A0F" w:rsidRDefault="004847B7" w:rsidP="00EA5FA6">
      <w:pPr>
        <w:rPr>
          <w:rFonts w:cs="Arial Unicode MS"/>
        </w:rPr>
      </w:pPr>
    </w:p>
    <w:sectPr w:rsidR="004847B7" w:rsidRPr="004B4A0F" w:rsidSect="004847B7">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ESRI NIMA VMAP1&amp;2 PT"/>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C2ACC"/>
    <w:multiLevelType w:val="hybridMultilevel"/>
    <w:tmpl w:val="5EE02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234FDB"/>
    <w:multiLevelType w:val="hybridMultilevel"/>
    <w:tmpl w:val="CE5C1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87410D"/>
    <w:multiLevelType w:val="hybridMultilevel"/>
    <w:tmpl w:val="C1D49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D2ACF"/>
    <w:rsid w:val="00071626"/>
    <w:rsid w:val="000C5771"/>
    <w:rsid w:val="000D2ACF"/>
    <w:rsid w:val="00111159"/>
    <w:rsid w:val="00134A97"/>
    <w:rsid w:val="00174E40"/>
    <w:rsid w:val="002422CF"/>
    <w:rsid w:val="002B0736"/>
    <w:rsid w:val="002C5329"/>
    <w:rsid w:val="002C7FF5"/>
    <w:rsid w:val="003610D2"/>
    <w:rsid w:val="0037546F"/>
    <w:rsid w:val="0040144C"/>
    <w:rsid w:val="00474104"/>
    <w:rsid w:val="004754D2"/>
    <w:rsid w:val="00481B28"/>
    <w:rsid w:val="004847B7"/>
    <w:rsid w:val="004B4A0F"/>
    <w:rsid w:val="004E6772"/>
    <w:rsid w:val="005D696B"/>
    <w:rsid w:val="00614419"/>
    <w:rsid w:val="0065169A"/>
    <w:rsid w:val="00734EF9"/>
    <w:rsid w:val="00741659"/>
    <w:rsid w:val="00750E33"/>
    <w:rsid w:val="00784543"/>
    <w:rsid w:val="007A3F42"/>
    <w:rsid w:val="007D0D52"/>
    <w:rsid w:val="008711AC"/>
    <w:rsid w:val="008B0BD2"/>
    <w:rsid w:val="008B7A86"/>
    <w:rsid w:val="0091286E"/>
    <w:rsid w:val="00935F29"/>
    <w:rsid w:val="00944B44"/>
    <w:rsid w:val="00956FC3"/>
    <w:rsid w:val="009A7A31"/>
    <w:rsid w:val="009E66D9"/>
    <w:rsid w:val="00B71ABE"/>
    <w:rsid w:val="00C25972"/>
    <w:rsid w:val="00C86225"/>
    <w:rsid w:val="00CD2DF9"/>
    <w:rsid w:val="00D204DE"/>
    <w:rsid w:val="00D2389C"/>
    <w:rsid w:val="00D31BFA"/>
    <w:rsid w:val="00D51131"/>
    <w:rsid w:val="00DA12D8"/>
    <w:rsid w:val="00DD6F6D"/>
    <w:rsid w:val="00DF5AC8"/>
    <w:rsid w:val="00E42D93"/>
    <w:rsid w:val="00E87D9E"/>
    <w:rsid w:val="00EA5FA6"/>
    <w:rsid w:val="00EB2BC2"/>
    <w:rsid w:val="00EB4702"/>
    <w:rsid w:val="00F04704"/>
    <w:rsid w:val="00F735E5"/>
    <w:rsid w:val="00FE1F17"/>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F42"/>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2ACF"/>
    <w:rPr>
      <w:color w:val="0000FF" w:themeColor="hyperlink"/>
      <w:u w:val="single"/>
    </w:rPr>
  </w:style>
  <w:style w:type="paragraph" w:styleId="HTMLPreformatted">
    <w:name w:val="HTML Preformatted"/>
    <w:basedOn w:val="Normal"/>
    <w:link w:val="HTMLPreformattedChar"/>
    <w:uiPriority w:val="99"/>
    <w:unhideWhenUsed/>
    <w:rsid w:val="00FE1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FE1F17"/>
    <w:rPr>
      <w:rFonts w:ascii="Courier New" w:eastAsia="Times New Roman" w:hAnsi="Courier New" w:cs="Courier New"/>
      <w:sz w:val="20"/>
    </w:rPr>
  </w:style>
  <w:style w:type="character" w:customStyle="1" w:styleId="y2iqfc">
    <w:name w:val="y2iqfc"/>
    <w:basedOn w:val="DefaultParagraphFont"/>
    <w:rsid w:val="00FE1F17"/>
  </w:style>
  <w:style w:type="table" w:styleId="TableGrid">
    <w:name w:val="Table Grid"/>
    <w:basedOn w:val="TableNormal"/>
    <w:uiPriority w:val="59"/>
    <w:rsid w:val="00EB4702"/>
    <w:pPr>
      <w:spacing w:after="0" w:line="240" w:lineRule="auto"/>
    </w:pPr>
    <w:rPr>
      <w:rFonts w:eastAsiaTheme="minorHAnsi"/>
      <w:szCs w:val="22"/>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D6F6D"/>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D6F6D"/>
    <w:rPr>
      <w:rFonts w:ascii="Tahoma" w:hAnsi="Tahoma" w:cs="Tahoma"/>
      <w:sz w:val="16"/>
      <w:szCs w:val="14"/>
    </w:rPr>
  </w:style>
  <w:style w:type="paragraph" w:styleId="ListParagraph">
    <w:name w:val="List Paragraph"/>
    <w:basedOn w:val="Normal"/>
    <w:uiPriority w:val="34"/>
    <w:qFormat/>
    <w:rsid w:val="00EA5FA6"/>
    <w:pPr>
      <w:ind w:left="720"/>
      <w:contextualSpacing/>
    </w:pPr>
  </w:style>
</w:styles>
</file>

<file path=word/webSettings.xml><?xml version="1.0" encoding="utf-8"?>
<w:webSettings xmlns:r="http://schemas.openxmlformats.org/officeDocument/2006/relationships" xmlns:w="http://schemas.openxmlformats.org/wordprocessingml/2006/main">
  <w:divs>
    <w:div w:id="156852055">
      <w:bodyDiv w:val="1"/>
      <w:marLeft w:val="0"/>
      <w:marRight w:val="0"/>
      <w:marTop w:val="0"/>
      <w:marBottom w:val="0"/>
      <w:divBdr>
        <w:top w:val="none" w:sz="0" w:space="0" w:color="auto"/>
        <w:left w:val="none" w:sz="0" w:space="0" w:color="auto"/>
        <w:bottom w:val="none" w:sz="0" w:space="0" w:color="auto"/>
        <w:right w:val="none" w:sz="0" w:space="0" w:color="auto"/>
      </w:divBdr>
    </w:div>
    <w:div w:id="821847255">
      <w:bodyDiv w:val="1"/>
      <w:marLeft w:val="0"/>
      <w:marRight w:val="0"/>
      <w:marTop w:val="0"/>
      <w:marBottom w:val="0"/>
      <w:divBdr>
        <w:top w:val="none" w:sz="0" w:space="0" w:color="auto"/>
        <w:left w:val="none" w:sz="0" w:space="0" w:color="auto"/>
        <w:bottom w:val="none" w:sz="0" w:space="0" w:color="auto"/>
        <w:right w:val="none" w:sz="0" w:space="0" w:color="auto"/>
      </w:divBdr>
    </w:div>
    <w:div w:id="207816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avinparimal@rediff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3</Pages>
  <Words>1065</Words>
  <Characters>6073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Parimal</dc:creator>
  <cp:keywords/>
  <dc:description/>
  <cp:lastModifiedBy>Parimal</cp:lastModifiedBy>
  <cp:revision>37</cp:revision>
  <dcterms:created xsi:type="dcterms:W3CDTF">2021-08-02T13:33:00Z</dcterms:created>
  <dcterms:modified xsi:type="dcterms:W3CDTF">2021-08-12T14:17:00Z</dcterms:modified>
</cp:coreProperties>
</file>